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黑体" w:hAnsi="黑体" w:eastAsia="黑体" w:cs="黑体"/>
          <w:sz w:val="28"/>
          <w:szCs w:val="28"/>
        </w:rPr>
      </w:pPr>
      <w:r>
        <w:rPr>
          <w:rFonts w:hint="eastAsia" w:ascii="黑体" w:hAnsi="黑体" w:eastAsia="黑体"/>
          <w:sz w:val="32"/>
          <w:szCs w:val="28"/>
        </w:rPr>
        <w:t>《深海用固体浮力材料》“浙江制造”标准编制说明</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高分子材料和轻质耐压填料（如，空心微珠和空心球等）为主要成分制成的固体浮力材料是一种多组份、复杂微观结构的先进复合材料。其微观结构为由诸多闭合增强孔隙组成的多孔材料，具有密度低、强度高、吸水率小、透波性好、耐腐蚀及耐老化性能优异等诸多优点。其可在高等静压环境下为水下作业装备提供所需的浮力，以保证稳定的深海工作状态，目前主要应用于深海探测、海洋油气、海上风电、深海采矿、国防军工等领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固体浮力材料及其制备技术起源于美国，原本主要应用于军事工业，是美国政府严格把控、限制出口的关键材料。美国海军早在1964年就为用于深海的固体浮力材料制定了MIL-S-24154A标准，其最后一次修订时间为1991年。由于材料技术及行业的发展，该标准已经明显不适用于现在的固体浮力材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本世纪初，由于各国大力开发海洋资源，尤其是海上油气的开采活动，固体浮力逐渐应用到海洋工程领域。美国石油学会为由固体浮力材料制成的深水钻井立管浮力块和软管分布式浮力块制定了API 16F（其中第13部分）规范和API 17L1（其中第8部分）规范，长期以来是该领域产品制造商所遵循的准则。但是，上述两个标准只针对指定用途的浮力材料制成品进行了规范，却没有对浮力材料本身提出规范要求，故而在实际使用中往往造成混淆和误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于国外长期的技术垄断和封锁，中国在固体浮力材料技术领域起步较晚。但随着“十三五”和“十四五”战略规划的推进，近年来在国家政策的推动下国内固体浮力材料领域取得了一定的进步，填补了一些空白。目前，本单位台州中浮新材料科技股份有限公司是国内在高分子复合泡沫材料领域技术最先进、产业化程度最高、且实际工程应用业绩最多的企业。而中科院理化所和海洋化工研究院是国内在相关方面起步较早、研发投入较多的单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目前，国内在相关领域标准化工作上，中央军委装备发展部在2018年制定推出了《GJB 9435-2018 深海用微珠树脂复合固体浮力材料规范》，为行业发展奠定了基石。但是，该标准只针对应用于无人和载人潜器的固体浮力材料，却没有对其制成品和应用于其他领域（如，海洋油气、海上风电等）的固体浮力材料进行规范，故而其普遍适用性不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规范是中浮公司基于在固体浮力材料方面长期研发、生产和多领域应用经验，并综合参考国内、外相关标准、规范、文献，通过总结、归纳、提炼而提出的具有普遍适用性的标准文件。希望通过制定并发布本规范，为相关领域的客户、同行、研究人员等提供“一站式”指南；并通过提出比现有标准文件更全面、更严格、更前沿的技术指标要求，推动本公司乃至本行业的整体发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项目来源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由台州中浮新材料科技股份有限公司向浙江省品牌建设联合会提出立项申请，经省品牌联论证通过并印发了《2021年第四批“品字标”团体标准（“浙江制造”标准类）制定计划》，项目名称：《深海用固体浮力材料》</w:t>
      </w:r>
      <w:r>
        <w:rPr>
          <w:rFonts w:hint="eastAsia" w:ascii="仿宋" w:hAnsi="仿宋" w:eastAsia="仿宋" w:cs="仿宋"/>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标准制定工作概况</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标准制定相关单位及人员</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本标准牵头组织制定单位：浙江蓝箭万帮标准技术有限公司</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本标准主要起草单位：</w:t>
      </w:r>
      <w:r>
        <w:rPr>
          <w:rFonts w:hint="eastAsia" w:ascii="仿宋" w:hAnsi="仿宋" w:eastAsia="仿宋" w:cs="仿宋"/>
          <w:sz w:val="24"/>
          <w:szCs w:val="24"/>
          <w:lang w:val="en-US" w:eastAsia="zh-CN"/>
        </w:rPr>
        <w:t>台州中浮新材料科技股份有限公司。</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本标准参与起草单位：***</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本标准起草人为：</w:t>
      </w:r>
      <w:r>
        <w:rPr>
          <w:rFonts w:hint="eastAsia" w:ascii="仿宋" w:hAnsi="仿宋" w:eastAsia="仿宋" w:cs="仿宋"/>
          <w:sz w:val="24"/>
          <w:szCs w:val="24"/>
          <w:lang w:val="en-US" w:eastAsia="zh-CN"/>
        </w:rPr>
        <w:t>刘刚。</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主要工作过程</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前期准备工作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州中浮新材料科技股份有限公司按照“浙江制造”标准工作组构成要求，组建标准研制工作组，根据深海用固体浮力材料行业的发展和客户需求，明确了以固体浮力材料的密度、等静压破坏强度、吸水率、体积弹性模量、单轴压缩强度、拉伸强度、剪切强度、在位浮力损失、体积变形率、尺寸、干重和净浮力等方面为重点制订“浙江制造”团体标准。同时，明确了参与制定本标准人员的职责分工、研制计划、时间进度安排等情况。标准研制计划如下：</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2021年4月-2021年7月，编写标准（草案），标准编制说明（含先进性说明）。并召开启动会暨研讨会。</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2021年8月，征求意见阶段：形成征求意见稿，并向利益相关方等发送电子版标准征求意见稿征求意见，并根据征求意见，汇总成征求意见表。</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2021年8月，送审阶段：标准研制工作组探讨专家意见，并修改、完善征求意见稿、标准编制说明、先进性说明等材料，编制标准送审稿及其它送审材料并推荐评审专家，提交送审材料并等待评审会召开。</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2021年9月：评审阶段：召开标准评审会。专家对标准送审稿及其它送审材料进行评审，给出评定建议。</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2021年9月：报批阶段：根据评审会专家评定建议，对标准（送审稿）进行审查，并根据专家意见对送审稿进行修改完善，形成标准（报批稿），同步完善其它报批材料，并提交等待标准发布。</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标准草案研制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标准起草小组参考GJB 9435-2018《深海用微珠树脂复合固体浮力材料规范》、MIL-S-24154A《SYNTACTIC BUOYANCY MATERIAL FOR HIGH HYDROSTATIC PRESSURES》、API 16F-2017《Specification for Marine Drilling Riser Equipment》、 API 17L1-2015《Specification for Flexible Pipe Ancillary Equipment》以及ISO 21173 《Submersibles - Hydrostatic pressure test - Pressure hull and buoyancy materials》等国内外现行标准，以之为基础提出了涵盖深海用固体浮力材料的更先进、更具体的指标要求，包括：产品分类的细化、更能反应当前材料发展的密度、等静压破坏强度、吸水率、体积弹性模量、单轴压缩强度、拉伸强度、剪切强度等要求；以及成品的性能要求，包括：尺寸、干重、净浮力、在位浮力损失、体积变形率等。</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征求意见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待编辑。</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专家评审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待编辑。</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标准报批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待编辑。</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标准编制原则、主要内容及确定依据</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编制原则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标准编制遵循“合规性、必要性、先进性、经济性、可操作性”的原则，与国际通行标准接轨，注重标准的可操作性。</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合规原则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本标准在 GJB 9435-2018《深海用微珠树脂复合固体浮力材料规范》、MIL-S-24154A《SYNTACTIC BUOYANCY MATERIAL FOR HIGH HYDROSTATIC PRESSURES》</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API 16F-2017《Specification for Marine Drilling Riser Equipment》、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API 17L1-2015</w:t>
      </w:r>
      <w:r>
        <w:rPr>
          <w:rFonts w:hint="eastAsia" w:ascii="仿宋" w:hAnsi="仿宋" w:eastAsia="仿宋" w:cs="仿宋"/>
          <w:sz w:val="24"/>
          <w:szCs w:val="24"/>
        </w:rPr>
        <w:t>《Specification for Flexible Pipe Ancillary Equipment》</w:t>
      </w:r>
      <w:r>
        <w:rPr>
          <w:rFonts w:hint="eastAsia" w:ascii="仿宋" w:hAnsi="仿宋" w:eastAsia="仿宋" w:cs="仿宋"/>
          <w:sz w:val="24"/>
          <w:szCs w:val="24"/>
          <w:lang w:val="en-US" w:eastAsia="zh-CN"/>
        </w:rPr>
        <w:t>以及ISO 21173 《Submersibles - Hydrostatic pressure test - Pressure hull and buoyancy materials》</w:t>
      </w:r>
      <w:r>
        <w:rPr>
          <w:rFonts w:hint="eastAsia" w:ascii="仿宋" w:hAnsi="仿宋" w:eastAsia="仿宋" w:cs="仿宋"/>
          <w:sz w:val="24"/>
          <w:szCs w:val="24"/>
        </w:rPr>
        <w:t>基础上，结合企业和国内</w:t>
      </w:r>
      <w:r>
        <w:rPr>
          <w:rFonts w:hint="eastAsia" w:ascii="仿宋" w:hAnsi="仿宋" w:eastAsia="仿宋" w:cs="仿宋"/>
          <w:sz w:val="24"/>
          <w:szCs w:val="24"/>
          <w:lang w:val="en-US" w:eastAsia="zh-CN"/>
        </w:rPr>
        <w:t>外</w:t>
      </w:r>
      <w:r>
        <w:rPr>
          <w:rFonts w:hint="eastAsia" w:ascii="仿宋" w:hAnsi="仿宋" w:eastAsia="仿宋" w:cs="仿宋"/>
          <w:sz w:val="24"/>
          <w:szCs w:val="24"/>
        </w:rPr>
        <w:t>同行业产品的特点以及实用性，符合当前相关的国家、行业标准要求。标准编写规则符合 GB/T 1.1—2020 的要求。</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必要性原则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本标准</w:t>
      </w:r>
      <w:r>
        <w:rPr>
          <w:rFonts w:hint="eastAsia" w:ascii="仿宋" w:hAnsi="仿宋" w:eastAsia="仿宋" w:cs="仿宋"/>
          <w:sz w:val="24"/>
          <w:szCs w:val="24"/>
          <w:lang w:val="en-US" w:eastAsia="zh-CN"/>
        </w:rPr>
        <w:t>从应用于不同领域的固体浮力材料出发，重点解决现有标准普遍适用性不足的问题，并围绕密度、吸水率、等静压破坏强度、在位浮力损失和体积变形率等客户特别关心的核心质量特性提出了适应于行业当前发展的更高、更严格的技术指标</w:t>
      </w:r>
      <w:r>
        <w:rPr>
          <w:rFonts w:hint="eastAsia" w:ascii="仿宋" w:hAnsi="仿宋" w:eastAsia="仿宋" w:cs="仿宋"/>
          <w:sz w:val="24"/>
          <w:szCs w:val="24"/>
        </w:rPr>
        <w:t>。</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先进性原则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本标准</w:t>
      </w:r>
      <w:r>
        <w:rPr>
          <w:rFonts w:hint="eastAsia" w:ascii="仿宋" w:hAnsi="仿宋" w:eastAsia="仿宋" w:cs="仿宋"/>
          <w:sz w:val="24"/>
          <w:szCs w:val="24"/>
          <w:lang w:val="en-US" w:eastAsia="zh-CN"/>
        </w:rPr>
        <w:t>综合参考</w:t>
      </w:r>
      <w:r>
        <w:rPr>
          <w:rFonts w:hint="eastAsia" w:ascii="仿宋" w:hAnsi="仿宋" w:eastAsia="仿宋" w:cs="仿宋"/>
          <w:sz w:val="24"/>
          <w:szCs w:val="24"/>
        </w:rPr>
        <w:t xml:space="preserve"> GJB 9435-2018《深海用微珠树脂复合固体浮力材料规范》、MIL-S-24154A《SYNTACTIC BUOYANCY MATERIAL FOR HIGH HYDROSTATIC PRESSURES》</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API 16F-2017《Specification for Marine Drilling Riser Equipment》</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API 17L1-2015</w:t>
      </w:r>
      <w:r>
        <w:rPr>
          <w:rFonts w:hint="eastAsia" w:ascii="仿宋" w:hAnsi="仿宋" w:eastAsia="仿宋" w:cs="仿宋"/>
          <w:sz w:val="24"/>
          <w:szCs w:val="24"/>
        </w:rPr>
        <w:t>《Specification for Flexible Pipe Ancillary Equipment》</w:t>
      </w:r>
      <w:r>
        <w:rPr>
          <w:rFonts w:hint="eastAsia" w:ascii="仿宋" w:hAnsi="仿宋" w:eastAsia="仿宋" w:cs="仿宋"/>
          <w:sz w:val="24"/>
          <w:szCs w:val="24"/>
          <w:lang w:val="en-US" w:eastAsia="zh-CN"/>
        </w:rPr>
        <w:t>以及ISO 21173 《Submersibles - Hydrostatic pressure test - Pressure hull and buoyancy materials》等现有标准，并结合国内外先进固体浮力材料厂家的产品性能参数，从性能维度、密度、吸水率、等静压破坏强度、在位浮力损失和体积变形率等方面都做了提升</w:t>
      </w:r>
      <w:r>
        <w:rPr>
          <w:rFonts w:hint="eastAsia" w:ascii="仿宋" w:hAnsi="仿宋" w:eastAsia="仿宋" w:cs="仿宋"/>
          <w:sz w:val="24"/>
          <w:szCs w:val="24"/>
        </w:rPr>
        <w:t>。</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可操作原则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本标准起草过程</w:t>
      </w:r>
      <w:r>
        <w:rPr>
          <w:rFonts w:hint="eastAsia" w:ascii="仿宋" w:hAnsi="仿宋" w:eastAsia="仿宋" w:cs="仿宋"/>
          <w:sz w:val="24"/>
          <w:szCs w:val="24"/>
          <w:lang w:val="en-US" w:eastAsia="zh-CN"/>
        </w:rPr>
        <w:t>中</w:t>
      </w:r>
      <w:r>
        <w:rPr>
          <w:rFonts w:hint="eastAsia" w:ascii="仿宋" w:hAnsi="仿宋" w:eastAsia="仿宋" w:cs="仿宋"/>
          <w:sz w:val="24"/>
          <w:szCs w:val="24"/>
        </w:rPr>
        <w:t>对各项技术要求的检测或试验方法均做出了规定，各项技术指标均有现行的国家标准、行业标准做检测支撑，标准所有技术要求均可检测、验证、核实，质量承诺要求可追溯。</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经济性原则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本标准起草过程</w:t>
      </w:r>
      <w:r>
        <w:rPr>
          <w:rFonts w:hint="eastAsia" w:ascii="仿宋" w:hAnsi="仿宋" w:eastAsia="仿宋" w:cs="仿宋"/>
          <w:sz w:val="24"/>
          <w:szCs w:val="24"/>
          <w:lang w:val="en-US" w:eastAsia="zh-CN"/>
        </w:rPr>
        <w:t>中对固体浮力材料的性能维度、密度、吸水率、等静压破坏强度、在位浮力损失和体积变形率等方面进行了综合评判，基于当前行业发展适当提高要求，能够提高产品的性能和质量一致性，通过优化、完善生产工艺、提高装备自动化水平、提高工艺精度能够实现标准要求。</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主要参考标准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本标准制定过程中，主要参考了以下标准：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GJB 9435-2018《深海用微珠树脂复合固体浮力材料规范》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MIL-S-24154A</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《SYNTACTIC BUOYANCY MATERIAL FOR HIGH HYDROSTATIC PRESSURES》</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API 16F-2017《Specification for Marine Drilling Riser Equipment》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API 17L1-2015</w:t>
      </w:r>
      <w:r>
        <w:rPr>
          <w:rFonts w:hint="eastAsia" w:ascii="仿宋" w:hAnsi="仿宋" w:eastAsia="仿宋" w:cs="仿宋"/>
          <w:sz w:val="24"/>
          <w:szCs w:val="24"/>
        </w:rPr>
        <w:t>《Specification for Flexible Pipe Ancillary Equipment》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ISO 21173 《Submersibles - Hydrostatic pressure test - Pressure hull and buoyancy materials》</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主要内容及确定依据</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本标准规定了深海用固体浮力材料的</w:t>
      </w:r>
      <w:r>
        <w:rPr>
          <w:rFonts w:hint="eastAsia" w:ascii="仿宋" w:hAnsi="仿宋" w:eastAsia="仿宋" w:cs="仿宋"/>
          <w:sz w:val="24"/>
          <w:szCs w:val="24"/>
          <w:lang w:val="en-US" w:eastAsia="zh-CN"/>
        </w:rPr>
        <w:t>产品分类、</w:t>
      </w:r>
      <w:r>
        <w:rPr>
          <w:rFonts w:hint="eastAsia" w:ascii="仿宋" w:hAnsi="仿宋" w:eastAsia="仿宋" w:cs="仿宋"/>
          <w:sz w:val="24"/>
          <w:szCs w:val="24"/>
        </w:rPr>
        <w:t>基本要求、技术要求、试验方法、检验规则、标志、包装、运输、贮存及质量承诺。</w:t>
      </w:r>
    </w:p>
    <w:p>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确定依据</w:t>
      </w:r>
    </w:p>
    <w:p>
      <w:pPr>
        <w:keepNext w:val="0"/>
        <w:keepLines w:val="0"/>
        <w:pageBreakBefore w:val="0"/>
        <w:widowControl w:val="0"/>
        <w:numPr>
          <w:ilvl w:val="3"/>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产品分类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根据如下最大作业水深对固体浮力材料进行分类和型式验证：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A型：作业水深不大于1000m。</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B型：作业水深1000 - 4000m。</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C型：作业水深4000 - 6000m。</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D型：作业水深6000 - 11000m。</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产品分类参考</w:t>
      </w:r>
      <w:r>
        <w:rPr>
          <w:rFonts w:hint="eastAsia" w:ascii="仿宋" w:hAnsi="仿宋" w:eastAsia="仿宋" w:cs="仿宋"/>
          <w:sz w:val="24"/>
          <w:szCs w:val="24"/>
        </w:rPr>
        <w:t>GJB 9435-2018《深海用微珠树脂复合固体浮力材料规范》</w:t>
      </w:r>
      <w:r>
        <w:rPr>
          <w:rFonts w:hint="eastAsia" w:ascii="仿宋" w:hAnsi="仿宋" w:eastAsia="仿宋" w:cs="仿宋"/>
          <w:sz w:val="24"/>
          <w:szCs w:val="24"/>
          <w:lang w:val="en-US" w:eastAsia="zh-CN"/>
        </w:rPr>
        <w:t>中按作业水深对浮力材料进行分类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并根据当前应用实际进行合理整合、归并。根据国际惯例，作业水深区域主要分为：中水区（Mesopelagic Zone）0 - 1000m、深水区（Bathypelagic Zone）1000 - 4000m、深渊区（Abyssopelagic Zone）4000 - 6000m和超深渊区（Hadal Zone）6000 - 11000m。</w:t>
      </w:r>
    </w:p>
    <w:p>
      <w:pPr>
        <w:keepNext w:val="0"/>
        <w:keepLines w:val="0"/>
        <w:pageBreakBefore w:val="0"/>
        <w:widowControl w:val="0"/>
        <w:numPr>
          <w:ilvl w:val="3"/>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按照浙江制造“四精”原则从设计研发、原材料、工艺</w:t>
      </w:r>
      <w:r>
        <w:rPr>
          <w:rFonts w:hint="eastAsia" w:ascii="仿宋" w:hAnsi="仿宋" w:eastAsia="仿宋" w:cs="仿宋"/>
          <w:sz w:val="24"/>
          <w:szCs w:val="24"/>
          <w:lang w:val="en-US" w:eastAsia="zh-CN"/>
        </w:rPr>
        <w:t>及</w:t>
      </w:r>
      <w:r>
        <w:rPr>
          <w:rFonts w:hint="eastAsia" w:ascii="仿宋" w:hAnsi="仿宋" w:eastAsia="仿宋" w:cs="仿宋"/>
          <w:sz w:val="24"/>
          <w:szCs w:val="24"/>
        </w:rPr>
        <w:t>装备和检验检测</w:t>
      </w:r>
      <w:r>
        <w:rPr>
          <w:rFonts w:hint="eastAsia" w:ascii="仿宋" w:hAnsi="仿宋" w:eastAsia="仿宋" w:cs="仿宋"/>
          <w:sz w:val="24"/>
          <w:szCs w:val="24"/>
          <w:lang w:val="en-US" w:eastAsia="zh-CN"/>
        </w:rPr>
        <w:t>等</w:t>
      </w:r>
      <w:r>
        <w:rPr>
          <w:rFonts w:hint="eastAsia" w:ascii="仿宋" w:hAnsi="仿宋" w:eastAsia="仿宋" w:cs="仿宋"/>
          <w:sz w:val="24"/>
          <w:szCs w:val="24"/>
        </w:rPr>
        <w:t>四个方面结合企业</w:t>
      </w:r>
      <w:r>
        <w:rPr>
          <w:rFonts w:hint="eastAsia" w:ascii="仿宋" w:hAnsi="仿宋" w:eastAsia="仿宋" w:cs="仿宋"/>
          <w:sz w:val="24"/>
          <w:szCs w:val="24"/>
          <w:lang w:val="en-US" w:eastAsia="zh-CN"/>
        </w:rPr>
        <w:t>和行业</w:t>
      </w:r>
      <w:r>
        <w:rPr>
          <w:rFonts w:hint="eastAsia" w:ascii="仿宋" w:hAnsi="仿宋" w:eastAsia="仿宋" w:cs="仿宋"/>
          <w:sz w:val="24"/>
          <w:szCs w:val="24"/>
        </w:rPr>
        <w:t>实际情况进行相关先进性要求的规定。</w:t>
      </w:r>
      <w:r>
        <w:rPr>
          <w:rFonts w:hint="eastAsia" w:ascii="仿宋" w:hAnsi="仿宋" w:eastAsia="仿宋" w:cs="仿宋"/>
          <w:sz w:val="24"/>
          <w:szCs w:val="24"/>
          <w:lang w:val="en-US" w:eastAsia="zh-CN"/>
        </w:rPr>
        <w:t>其中：</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研发设计</w:t>
      </w:r>
      <w:r>
        <w:rPr>
          <w:rFonts w:hint="eastAsia" w:ascii="仿宋" w:hAnsi="仿宋" w:eastAsia="仿宋" w:cs="仿宋"/>
          <w:sz w:val="24"/>
          <w:szCs w:val="24"/>
        </w:rPr>
        <w:t>：</w:t>
      </w:r>
      <w:r>
        <w:rPr>
          <w:rFonts w:hint="eastAsia" w:ascii="仿宋" w:hAnsi="仿宋" w:eastAsia="仿宋" w:cs="仿宋"/>
          <w:sz w:val="24"/>
          <w:szCs w:val="24"/>
          <w:lang w:val="en-US" w:eastAsia="zh-CN"/>
        </w:rPr>
        <w:t>要求具有材料研发（配方设计）的能力；产品设计（包括，外形、连接方式、粘结形式、应力分析等）的能力</w:t>
      </w:r>
      <w:r>
        <w:rPr>
          <w:rFonts w:hint="eastAsia" w:ascii="仿宋" w:hAnsi="仿宋" w:eastAsia="仿宋" w:cs="仿宋"/>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原材料和零部件：原材料检验，尤其注重关键组分轻质填料的检验。其中，填料的“真密度一致性”直接影响产品的真密度一致性；“抗压强度下存活率”直接影响产品的耐压强度；“含水率”和“漂浮率”影响生产工艺及产品最终质量和性能。</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工艺装备：提出了物料混合、固化成型和环保设备等要求。</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检验检测：从原材料检验、过程检验和产品检验三个角度提出要求。</w:t>
      </w:r>
    </w:p>
    <w:p>
      <w:pPr>
        <w:keepNext w:val="0"/>
        <w:keepLines w:val="0"/>
        <w:pageBreakBefore w:val="0"/>
        <w:widowControl w:val="0"/>
        <w:numPr>
          <w:ilvl w:val="3"/>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参考</w:t>
      </w:r>
      <w:r>
        <w:rPr>
          <w:rFonts w:hint="eastAsia" w:ascii="仿宋" w:hAnsi="仿宋" w:eastAsia="仿宋" w:cs="仿宋"/>
          <w:sz w:val="24"/>
          <w:szCs w:val="24"/>
        </w:rPr>
        <w:t>GJB 9435-2018《深海用微珠树脂复合固体浮力材料规范》</w:t>
      </w:r>
      <w:r>
        <w:rPr>
          <w:rFonts w:hint="eastAsia" w:ascii="仿宋" w:hAnsi="仿宋" w:eastAsia="仿宋" w:cs="仿宋"/>
          <w:sz w:val="24"/>
          <w:szCs w:val="24"/>
          <w:lang w:val="en-US" w:eastAsia="zh-CN"/>
        </w:rPr>
        <w:t>、</w:t>
      </w:r>
      <w:r>
        <w:rPr>
          <w:rFonts w:hint="eastAsia" w:ascii="仿宋" w:hAnsi="仿宋" w:eastAsia="仿宋" w:cs="仿宋"/>
          <w:sz w:val="24"/>
          <w:szCs w:val="24"/>
        </w:rPr>
        <w:t>MIL-S-24154A</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《SYNTACTIC BUOYANCY MATERIAL FOR HIGH HYDROSTATIC PRESSURES》</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API 16F-2017《Specification for Marine Drilling Riser Equipment》、API 17L1-2015</w:t>
      </w:r>
      <w:r>
        <w:rPr>
          <w:rFonts w:hint="eastAsia" w:ascii="仿宋" w:hAnsi="仿宋" w:eastAsia="仿宋" w:cs="仿宋"/>
          <w:sz w:val="24"/>
          <w:szCs w:val="24"/>
        </w:rPr>
        <w:t>《Specification for Flexible Pipe Ancillary Equipment》</w:t>
      </w:r>
      <w:r>
        <w:rPr>
          <w:rFonts w:hint="eastAsia" w:ascii="仿宋" w:hAnsi="仿宋" w:eastAsia="仿宋" w:cs="仿宋"/>
          <w:sz w:val="24"/>
          <w:szCs w:val="24"/>
          <w:lang w:val="en-US" w:eastAsia="zh-CN"/>
        </w:rPr>
        <w:t>和ISO 21173 《Submersibles - Hydrostatic pressure test - Pressure hull and buoyancy materials》</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并结合企业产品规格，针对重要指标提出了更先进的指标要求，其中：</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裸材要求：浮力材料裸材的性能要求，其中</w:t>
      </w:r>
    </w:p>
    <w:p>
      <w:pPr>
        <w:keepNext w:val="0"/>
        <w:keepLines w:val="0"/>
        <w:pageBreakBefore w:val="0"/>
        <w:widowControl w:val="0"/>
        <w:numPr>
          <w:ilvl w:val="1"/>
          <w:numId w:val="4"/>
        </w:numPr>
        <w:kinsoku/>
        <w:wordWrap/>
        <w:overflowPunct/>
        <w:topLinePunct w:val="0"/>
        <w:autoSpaceDE/>
        <w:autoSpaceDN/>
        <w:bidi w:val="0"/>
        <w:adjustRightInd/>
        <w:snapToGrid/>
        <w:spacing w:before="157" w:beforeLines="50" w:after="157" w:afterLines="50" w:line="300" w:lineRule="auto"/>
        <w:ind w:left="1260" w:leftChars="0" w:hanging="42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密度要求、等静压破坏强度、吸水率、体积弹性模量和剪切强度等性能指标</w:t>
      </w:r>
      <w:r>
        <w:rPr>
          <w:rFonts w:hint="eastAsia" w:ascii="仿宋" w:hAnsi="仿宋" w:eastAsia="仿宋" w:cs="仿宋"/>
          <w:sz w:val="24"/>
          <w:szCs w:val="24"/>
        </w:rPr>
        <w:t>：</w:t>
      </w:r>
      <w:r>
        <w:rPr>
          <w:rFonts w:hint="eastAsia" w:ascii="仿宋" w:hAnsi="仿宋" w:eastAsia="仿宋" w:cs="仿宋"/>
          <w:sz w:val="24"/>
          <w:szCs w:val="24"/>
          <w:lang w:val="en-US" w:eastAsia="zh-CN"/>
        </w:rPr>
        <w:t>参考</w:t>
      </w:r>
      <w:r>
        <w:rPr>
          <w:rFonts w:hint="eastAsia" w:ascii="仿宋" w:hAnsi="仿宋" w:eastAsia="仿宋" w:cs="仿宋"/>
          <w:sz w:val="24"/>
          <w:szCs w:val="24"/>
        </w:rPr>
        <w:t>GJB 9435-2018《深海用微珠树脂复合固体浮力材料规范》</w:t>
      </w:r>
      <w:r>
        <w:rPr>
          <w:rFonts w:hint="eastAsia" w:ascii="仿宋" w:hAnsi="仿宋" w:eastAsia="仿宋" w:cs="仿宋"/>
          <w:sz w:val="24"/>
          <w:szCs w:val="24"/>
          <w:lang w:val="en-US" w:eastAsia="zh-CN"/>
        </w:rPr>
        <w:t>及</w:t>
      </w:r>
      <w:r>
        <w:rPr>
          <w:rFonts w:hint="eastAsia" w:ascii="仿宋" w:hAnsi="仿宋" w:eastAsia="仿宋" w:cs="仿宋"/>
          <w:sz w:val="24"/>
          <w:szCs w:val="24"/>
        </w:rPr>
        <w:t>MIL-S-24154A《SYNTACTIC BUOYANCY MATERIAL FOR HIGH HYDROSTATIC PRESSURES》</w:t>
      </w:r>
      <w:r>
        <w:rPr>
          <w:rFonts w:hint="eastAsia" w:ascii="仿宋" w:hAnsi="仿宋" w:eastAsia="仿宋" w:cs="仿宋"/>
          <w:sz w:val="24"/>
          <w:szCs w:val="24"/>
          <w:lang w:val="en-US" w:eastAsia="zh-CN"/>
        </w:rPr>
        <w:t>标准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并根据现有先进规格适当提升性能指标</w:t>
      </w:r>
      <w:r>
        <w:rPr>
          <w:rFonts w:hint="eastAsia" w:ascii="仿宋" w:hAnsi="仿宋" w:eastAsia="仿宋" w:cs="仿宋"/>
          <w:sz w:val="24"/>
          <w:szCs w:val="24"/>
        </w:rPr>
        <w:t>。</w:t>
      </w:r>
    </w:p>
    <w:p>
      <w:pPr>
        <w:keepNext w:val="0"/>
        <w:keepLines w:val="0"/>
        <w:pageBreakBefore w:val="0"/>
        <w:widowControl w:val="0"/>
        <w:numPr>
          <w:ilvl w:val="1"/>
          <w:numId w:val="4"/>
        </w:numPr>
        <w:kinsoku/>
        <w:wordWrap/>
        <w:overflowPunct/>
        <w:topLinePunct w:val="0"/>
        <w:autoSpaceDE/>
        <w:autoSpaceDN/>
        <w:bidi w:val="0"/>
        <w:adjustRightInd/>
        <w:snapToGrid/>
        <w:spacing w:before="157" w:beforeLines="50" w:after="157" w:afterLines="50" w:line="300" w:lineRule="auto"/>
        <w:ind w:left="1260" w:leftChars="0" w:hanging="42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密度一致性、拉伸强度等性能指标：根据客户要求（如，招标技术文件、技术要求等）和公司产品质量一致性确定合理且先进的性能指标。</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成品要求：浮力材料成品（包含所有组件,如表皮、涂层、内嵌件和紧固件等）的性能要求，其中</w:t>
      </w:r>
    </w:p>
    <w:p>
      <w:pPr>
        <w:keepNext w:val="0"/>
        <w:keepLines w:val="0"/>
        <w:pageBreakBefore w:val="0"/>
        <w:widowControl w:val="0"/>
        <w:numPr>
          <w:ilvl w:val="1"/>
          <w:numId w:val="4"/>
        </w:numPr>
        <w:kinsoku/>
        <w:wordWrap/>
        <w:overflowPunct/>
        <w:topLinePunct w:val="0"/>
        <w:autoSpaceDE/>
        <w:autoSpaceDN/>
        <w:bidi w:val="0"/>
        <w:adjustRightInd/>
        <w:snapToGrid/>
        <w:spacing w:before="157" w:beforeLines="50" w:after="157" w:afterLines="50" w:line="300" w:lineRule="auto"/>
        <w:ind w:left="1260" w:leftChars="0" w:hanging="42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净浮力、1年（拟合）在位浮力损失（工作水压）、体积变形率（工作水压）、等静压破坏强度和装配等性能指标：参考API 16F-2017《Specification for Marine Drilling Riser Equipment》和API 17L1-2015</w:t>
      </w:r>
      <w:r>
        <w:rPr>
          <w:rFonts w:hint="eastAsia" w:ascii="仿宋" w:hAnsi="仿宋" w:eastAsia="仿宋" w:cs="仿宋"/>
          <w:sz w:val="24"/>
          <w:szCs w:val="24"/>
        </w:rPr>
        <w:t>《Specification for Flexible Pipe Ancillary Equipment》</w:t>
      </w:r>
      <w:r>
        <w:rPr>
          <w:rFonts w:hint="eastAsia" w:ascii="仿宋" w:hAnsi="仿宋" w:eastAsia="仿宋" w:cs="仿宋"/>
          <w:sz w:val="24"/>
          <w:szCs w:val="24"/>
          <w:lang w:val="en-US" w:eastAsia="zh-CN"/>
        </w:rPr>
        <w:t>标准，并根据现有先进规格适当提升性能指标</w:t>
      </w:r>
      <w:r>
        <w:rPr>
          <w:rFonts w:hint="eastAsia" w:ascii="仿宋" w:hAnsi="仿宋" w:eastAsia="仿宋" w:cs="仿宋"/>
          <w:sz w:val="24"/>
          <w:szCs w:val="24"/>
        </w:rPr>
        <w:t>。</w:t>
      </w:r>
    </w:p>
    <w:p>
      <w:pPr>
        <w:keepNext w:val="0"/>
        <w:keepLines w:val="0"/>
        <w:pageBreakBefore w:val="0"/>
        <w:widowControl w:val="0"/>
        <w:numPr>
          <w:ilvl w:val="1"/>
          <w:numId w:val="4"/>
        </w:numPr>
        <w:kinsoku/>
        <w:wordWrap/>
        <w:overflowPunct/>
        <w:topLinePunct w:val="0"/>
        <w:autoSpaceDE/>
        <w:autoSpaceDN/>
        <w:bidi w:val="0"/>
        <w:adjustRightInd/>
        <w:snapToGrid/>
        <w:spacing w:before="157" w:beforeLines="50" w:after="157" w:afterLines="50" w:line="300" w:lineRule="auto"/>
        <w:ind w:left="1260" w:leftChars="0" w:hanging="42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尺寸和干重等性能指标：根据客户要求（如，招标技术文件、技术要求等）和公司产品性能及质量确定合理且先进的性能指标。</w:t>
      </w:r>
    </w:p>
    <w:p>
      <w:pPr>
        <w:keepNext w:val="0"/>
        <w:keepLines w:val="0"/>
        <w:pageBreakBefore w:val="0"/>
        <w:widowControl w:val="0"/>
        <w:numPr>
          <w:ilvl w:val="3"/>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试验方法：</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00" w:lineRule="auto"/>
        <w:ind w:left="420" w:left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引用了包括ASTM、API、GB/T和ISO等各测试标准，皆为标准化试验方法。</w:t>
      </w:r>
    </w:p>
    <w:p>
      <w:pPr>
        <w:keepNext w:val="0"/>
        <w:keepLines w:val="0"/>
        <w:pageBreakBefore w:val="0"/>
        <w:widowControl w:val="0"/>
        <w:numPr>
          <w:ilvl w:val="3"/>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检验规则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参考</w:t>
      </w:r>
      <w:r>
        <w:rPr>
          <w:rFonts w:hint="eastAsia" w:ascii="仿宋" w:hAnsi="仿宋" w:eastAsia="仿宋" w:cs="仿宋"/>
          <w:sz w:val="24"/>
          <w:szCs w:val="24"/>
        </w:rPr>
        <w:t>GJB 9435-2018《深海用微珠树脂复合固体浮力材料规范》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API 16F-2017《Specification for Marine Drilling Riser Equipment》和API 17L1-2015</w:t>
      </w:r>
      <w:r>
        <w:rPr>
          <w:rFonts w:hint="eastAsia" w:ascii="仿宋" w:hAnsi="仿宋" w:eastAsia="仿宋" w:cs="仿宋"/>
          <w:sz w:val="24"/>
          <w:szCs w:val="24"/>
        </w:rPr>
        <w:t>《Specification for Flexible Pipe Ancillary Equipment》</w:t>
      </w:r>
      <w:r>
        <w:rPr>
          <w:rFonts w:hint="eastAsia" w:ascii="仿宋" w:hAnsi="仿宋" w:eastAsia="仿宋" w:cs="仿宋"/>
          <w:sz w:val="24"/>
          <w:szCs w:val="24"/>
          <w:lang w:val="en-US" w:eastAsia="zh-CN"/>
        </w:rPr>
        <w:t>制定了同等的检验规则。</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检验分类：分为型式检验（产品定型）和质量检验。</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型式检验：进行所有性能指标检验，包括破坏性试验。</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质量检验：抽检，进行关键性能指标检验，不包括破坏性试验。</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00" w:lineRule="auto"/>
        <w:ind w:left="84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判定标准：参考参考</w:t>
      </w:r>
      <w:r>
        <w:rPr>
          <w:rFonts w:hint="eastAsia" w:ascii="仿宋" w:hAnsi="仿宋" w:eastAsia="仿宋" w:cs="仿宋"/>
          <w:sz w:val="24"/>
          <w:szCs w:val="24"/>
        </w:rPr>
        <w:t>GJB 9435-2018《深海用微珠树脂复合固体浮力材料规范》</w:t>
      </w:r>
      <w:r>
        <w:rPr>
          <w:rFonts w:hint="eastAsia" w:ascii="仿宋" w:hAnsi="仿宋" w:eastAsia="仿宋" w:cs="仿宋"/>
          <w:sz w:val="24"/>
          <w:szCs w:val="24"/>
          <w:lang w:val="en-US" w:eastAsia="zh-CN"/>
        </w:rPr>
        <w:t>和API 16F-2017《Specification for Marine Drilling Riser Equipment》制定。</w:t>
      </w:r>
    </w:p>
    <w:p>
      <w:pPr>
        <w:keepNext w:val="0"/>
        <w:keepLines w:val="0"/>
        <w:pageBreakBefore w:val="0"/>
        <w:widowControl w:val="0"/>
        <w:numPr>
          <w:ilvl w:val="3"/>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标志、包装、运输和贮存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参考</w:t>
      </w:r>
      <w:r>
        <w:rPr>
          <w:rFonts w:hint="eastAsia" w:ascii="仿宋" w:hAnsi="仿宋" w:eastAsia="仿宋" w:cs="仿宋"/>
          <w:sz w:val="24"/>
          <w:szCs w:val="24"/>
        </w:rPr>
        <w:t>GJB 9435-2018《深海用微珠树脂复合固体浮力材料规范》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API 16F-2017《Specification for Marine Drilling Riser Equipment》和API 17L1-2015</w:t>
      </w:r>
      <w:r>
        <w:rPr>
          <w:rFonts w:hint="eastAsia" w:ascii="仿宋" w:hAnsi="仿宋" w:eastAsia="仿宋" w:cs="仿宋"/>
          <w:sz w:val="24"/>
          <w:szCs w:val="24"/>
        </w:rPr>
        <w:t>《Specification for Flexible Pipe Ancillary Equipment》</w:t>
      </w:r>
      <w:r>
        <w:rPr>
          <w:rFonts w:hint="eastAsia" w:ascii="仿宋" w:hAnsi="仿宋" w:eastAsia="仿宋" w:cs="仿宋"/>
          <w:sz w:val="24"/>
          <w:szCs w:val="24"/>
          <w:lang w:val="en-US" w:eastAsia="zh-CN"/>
        </w:rPr>
        <w:t>制定了同等的标志、包装、运输和贮存要求。</w:t>
      </w:r>
    </w:p>
    <w:p>
      <w:pPr>
        <w:keepNext w:val="0"/>
        <w:keepLines w:val="0"/>
        <w:pageBreakBefore w:val="0"/>
        <w:widowControl w:val="0"/>
        <w:numPr>
          <w:ilvl w:val="3"/>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质量承诺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根据客户要求（如，招标文件等）和企业实际能够做到给客户最优质的售后服务进行相关要求的规定。</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标准先进性体现</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型式试验内规定的所有指标对比分析情况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与国内外现行标准（如，</w:t>
      </w:r>
      <w:r>
        <w:rPr>
          <w:rFonts w:hint="eastAsia" w:ascii="仿宋" w:hAnsi="仿宋" w:eastAsia="仿宋" w:cs="仿宋"/>
          <w:sz w:val="24"/>
          <w:szCs w:val="24"/>
        </w:rPr>
        <w:t>GJB 9435-2018</w:t>
      </w:r>
      <w:r>
        <w:rPr>
          <w:rFonts w:hint="eastAsia" w:ascii="仿宋" w:hAnsi="仿宋" w:eastAsia="仿宋" w:cs="仿宋"/>
          <w:sz w:val="24"/>
          <w:szCs w:val="24"/>
          <w:lang w:val="en-US" w:eastAsia="zh-CN"/>
        </w:rPr>
        <w:t>和</w:t>
      </w:r>
      <w:r>
        <w:rPr>
          <w:rFonts w:hint="eastAsia" w:ascii="仿宋" w:hAnsi="仿宋" w:eastAsia="仿宋" w:cs="仿宋"/>
          <w:sz w:val="24"/>
          <w:szCs w:val="24"/>
        </w:rPr>
        <w:t>MIL-S-24154A</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相比，浙江制造标准在指标方面的先进性主要体现在：固体浮力材料的密度、等静压破坏强度、体积弹性模量、拉伸强度；以及固体浮力材料制品的尺寸、干重、净浮力、在位浮力损失等指标上。具体见附表1。</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基本要求</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首次明确了对固体浮力材料生产商研发设计的能力要求；</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首次明确了对关键原材料（如，轻质耐压填料）的检验要求；</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首次明确了对固体浮力材料生产商工艺设备的要求；</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从原材料、过程和产品三个方面明确了对检验检测能力的要求。</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质量承诺</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首次提出了产品保质期、维修应急响应等质量承诺要求。</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标准中能体现“智能制造”、“绿色制造”先进性的内容说明。</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在基本要求中提出了环保设备的要求。</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与现行相关法律、法规、规章及相关标准的协调性</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目前国内主要执行的标准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GJB 9435-2018《深海用</w:t>
      </w:r>
      <w:bookmarkStart w:id="0" w:name="_GoBack"/>
      <w:bookmarkEnd w:id="0"/>
      <w:r>
        <w:rPr>
          <w:rFonts w:hint="eastAsia" w:ascii="仿宋" w:hAnsi="仿宋" w:eastAsia="仿宋" w:cs="仿宋"/>
          <w:sz w:val="24"/>
          <w:szCs w:val="24"/>
        </w:rPr>
        <w:t>微珠树脂复合固体浮力材料规范》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API 16F-2017《Specification for Marine Drilling Riser Equipment》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API 17L1-2015</w:t>
      </w:r>
      <w:r>
        <w:rPr>
          <w:rFonts w:hint="eastAsia" w:ascii="仿宋" w:hAnsi="仿宋" w:eastAsia="仿宋" w:cs="仿宋"/>
          <w:sz w:val="24"/>
          <w:szCs w:val="24"/>
        </w:rPr>
        <w:t>《Specification for Flexible Pipe Ancillary Equipment》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ISO 21173 《Submersibles - Hydrostatic pressure test - Pressure hull and buoyancy materials》</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本标准与相关法律、法规、规章、强制性标准相冲突情况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本标准不存在标准低于相关国标、行标和地标等推荐性标准的情况。</w:t>
      </w:r>
    </w:p>
    <w:p>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300" w:lineRule="auto"/>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本标准引用的文件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API Specification 16F Specification for Marine Drilling Riser Equipment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ASTM D2736 Practice for Determination of Hydrostatic Compressive Strength of Syntactic Foam</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ASTM D2929 Method of Test for Bulk Modulus of Elasticity of Syntactic Foam (Piston-Cylinder Method)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1033 塑料 非泡沫塑料密度的测定 第1部分:浸渍法、液体比重瓶法和滴定法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2567 树脂浇铸体性能试验方法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15598 塑料剪切强度试验方法 穿孔法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ISO 21173 Submersibles - Hydrostatic pressure test - Pressure hull and buoyancy materials</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待编辑。</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待编辑。</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废止现行相关标准的建议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提出标准强制实施或推荐实施的建议和理由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本标准为浙江省品牌建设联合会团体标准。</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贯彻标准的要求和措施建议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已批准发布的“浙江制造”标准，文本由浙江省品牌建设联合会在官方网站（http://www.zhejiangmade.org.cn/）上全文公布，供社会免费查阅。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标准主要起草单位将在企业标准信息公共服务平台（http://www.cpbz.gov.cn/）上自我声明采用本标准，其他采用本标准的单位也应在信息平台上进行自我声明。</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425" w:leftChars="0" w:hanging="425" w:firstLineChars="0"/>
        <w:textAlignment w:val="auto"/>
        <w:rPr>
          <w:rFonts w:hint="eastAsia" w:ascii="黑体" w:hAnsi="黑体" w:eastAsia="黑体" w:cs="黑体"/>
          <w:sz w:val="24"/>
          <w:szCs w:val="24"/>
        </w:rPr>
      </w:pPr>
      <w:r>
        <w:rPr>
          <w:rFonts w:hint="eastAsia" w:ascii="黑体" w:hAnsi="黑体" w:eastAsia="黑体" w:cs="黑体"/>
          <w:sz w:val="24"/>
          <w:szCs w:val="24"/>
        </w:rPr>
        <w:t>其他应予说明的事项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《深海用固体浮力材料》标准研制工作组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jc w:val="righ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2021年7月19日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仿宋" w:hAnsi="仿宋" w:eastAsia="仿宋" w:cs="仿宋"/>
          <w:sz w:val="24"/>
          <w:szCs w:val="24"/>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附表1. 技术指标对比（以C型固体浮力材料为例）</w:t>
      </w:r>
    </w:p>
    <w:tbl>
      <w:tblPr>
        <w:tblStyle w:val="6"/>
        <w:tblpPr w:leftFromText="180" w:rightFromText="180" w:vertAnchor="text" w:horzAnchor="page" w:tblpX="1417"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84"/>
        <w:gridCol w:w="1482"/>
        <w:gridCol w:w="2696"/>
        <w:gridCol w:w="1909"/>
        <w:gridCol w:w="1923"/>
        <w:gridCol w:w="202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tcBorders>
              <w:bottom w:val="double" w:color="auto" w:sz="4" w:space="0"/>
            </w:tcBorders>
            <w:vAlign w:val="center"/>
          </w:tcPr>
          <w:p>
            <w:pPr>
              <w:spacing w:after="0" w:line="240" w:lineRule="auto"/>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类别</w:t>
            </w:r>
          </w:p>
        </w:tc>
        <w:tc>
          <w:tcPr>
            <w:tcW w:w="2766" w:type="dxa"/>
            <w:gridSpan w:val="2"/>
            <w:tcBorders>
              <w:bottom w:val="double" w:color="auto" w:sz="4" w:space="0"/>
            </w:tcBorders>
            <w:vAlign w:val="center"/>
          </w:tcPr>
          <w:p>
            <w:pPr>
              <w:spacing w:after="0" w:line="240" w:lineRule="auto"/>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项目</w:t>
            </w:r>
          </w:p>
        </w:tc>
        <w:tc>
          <w:tcPr>
            <w:tcW w:w="2696" w:type="dxa"/>
            <w:tcBorders>
              <w:top w:val="single" w:color="auto" w:sz="4" w:space="0"/>
              <w:bottom w:val="double" w:color="auto" w:sz="4" w:space="0"/>
            </w:tcBorders>
            <w:vAlign w:val="center"/>
          </w:tcPr>
          <w:p>
            <w:pPr>
              <w:spacing w:after="0" w:line="240" w:lineRule="auto"/>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浙江制造标准</w:t>
            </w:r>
          </w:p>
        </w:tc>
        <w:tc>
          <w:tcPr>
            <w:tcW w:w="1909" w:type="dxa"/>
            <w:tcBorders>
              <w:top w:val="single" w:color="auto" w:sz="4" w:space="0"/>
              <w:bottom w:val="double" w:color="auto" w:sz="4" w:space="0"/>
            </w:tcBorders>
            <w:vAlign w:val="center"/>
          </w:tcPr>
          <w:p>
            <w:pPr>
              <w:spacing w:after="0" w:line="240" w:lineRule="auto"/>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GJB 9435-2018</w:t>
            </w:r>
          </w:p>
        </w:tc>
        <w:tc>
          <w:tcPr>
            <w:tcW w:w="1923" w:type="dxa"/>
            <w:tcBorders>
              <w:top w:val="single" w:color="auto" w:sz="4" w:space="0"/>
              <w:bottom w:val="double" w:color="auto" w:sz="4" w:space="0"/>
            </w:tcBorders>
            <w:vAlign w:val="center"/>
          </w:tcPr>
          <w:p>
            <w:pPr>
              <w:spacing w:after="0" w:line="240" w:lineRule="auto"/>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MIL-S-24154A-1991</w:t>
            </w:r>
          </w:p>
        </w:tc>
        <w:tc>
          <w:tcPr>
            <w:tcW w:w="2022" w:type="dxa"/>
            <w:tcBorders>
              <w:top w:val="single" w:color="auto" w:sz="4" w:space="0"/>
              <w:bottom w:val="double" w:color="auto" w:sz="4" w:space="0"/>
            </w:tcBorders>
            <w:vAlign w:val="center"/>
          </w:tcPr>
          <w:p>
            <w:pPr>
              <w:spacing w:after="0" w:line="240" w:lineRule="auto"/>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API 16F-2017</w:t>
            </w:r>
          </w:p>
        </w:tc>
        <w:tc>
          <w:tcPr>
            <w:tcW w:w="1977" w:type="dxa"/>
            <w:tcBorders>
              <w:top w:val="single" w:color="auto" w:sz="4" w:space="0"/>
              <w:bottom w:val="double" w:color="auto" w:sz="4" w:space="0"/>
            </w:tcBorders>
            <w:vAlign w:val="center"/>
          </w:tcPr>
          <w:p>
            <w:pPr>
              <w:spacing w:after="0" w:line="240" w:lineRule="auto"/>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API 17L1-2015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restart"/>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裸材</w:t>
            </w:r>
          </w:p>
        </w:tc>
        <w:tc>
          <w:tcPr>
            <w:tcW w:w="2766" w:type="dxa"/>
            <w:gridSpan w:val="2"/>
            <w:tcBorders>
              <w:top w:val="double" w:color="auto" w:sz="4" w:space="0"/>
            </w:tcBorders>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密度</w:t>
            </w:r>
            <w:r>
              <w:rPr>
                <w:rFonts w:hint="eastAsia" w:ascii="宋体" w:hAnsi="宋体" w:cs="宋体"/>
                <w:sz w:val="21"/>
                <w:szCs w:val="21"/>
                <w:lang w:eastAsia="zh-CN"/>
              </w:rPr>
              <w:t>（</w:t>
            </w:r>
            <w:r>
              <w:rPr>
                <w:rFonts w:hint="eastAsia" w:ascii="宋体" w:hAnsi="宋体" w:cs="宋体"/>
                <w:sz w:val="21"/>
                <w:szCs w:val="21"/>
                <w:lang w:val="en-US" w:eastAsia="zh-CN"/>
              </w:rPr>
              <w:t>kg/m</w:t>
            </w:r>
            <w:r>
              <w:rPr>
                <w:rFonts w:hint="eastAsia" w:ascii="宋体" w:hAnsi="宋体" w:cs="宋体"/>
                <w:sz w:val="21"/>
                <w:szCs w:val="21"/>
                <w:vertAlign w:val="superscript"/>
                <w:lang w:val="en-US" w:eastAsia="zh-CN"/>
              </w:rPr>
              <w:t>3</w:t>
            </w:r>
            <w:r>
              <w:rPr>
                <w:rFonts w:hint="eastAsia" w:ascii="宋体" w:hAnsi="宋体" w:cs="宋体"/>
                <w:sz w:val="21"/>
                <w:szCs w:val="21"/>
                <w:lang w:val="en-US" w:eastAsia="zh-CN"/>
              </w:rPr>
              <w:t>）</w:t>
            </w:r>
          </w:p>
        </w:tc>
        <w:tc>
          <w:tcPr>
            <w:tcW w:w="2696"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600</w:t>
            </w:r>
          </w:p>
        </w:tc>
        <w:tc>
          <w:tcPr>
            <w:tcW w:w="1909"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620</w:t>
            </w:r>
          </w:p>
        </w:tc>
        <w:tc>
          <w:tcPr>
            <w:tcW w:w="1923"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608</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default" w:ascii="宋体" w:hAnsi="宋体" w:eastAsia="宋体" w:cs="宋体"/>
                <w:sz w:val="21"/>
                <w:szCs w:val="21"/>
                <w:lang w:val="en-US" w:eastAsia="zh-CN"/>
              </w:rPr>
            </w:pPr>
          </w:p>
        </w:tc>
        <w:tc>
          <w:tcPr>
            <w:tcW w:w="2766" w:type="dxa"/>
            <w:gridSpan w:val="2"/>
            <w:tcBorders>
              <w:top w:val="double" w:color="auto" w:sz="4" w:space="0"/>
            </w:tcBorders>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密度一致性</w:t>
            </w:r>
            <w:r>
              <w:rPr>
                <w:rFonts w:hint="eastAsia" w:ascii="宋体" w:hAnsi="宋体" w:cs="宋体"/>
                <w:sz w:val="21"/>
                <w:szCs w:val="21"/>
                <w:lang w:eastAsia="zh-CN"/>
              </w:rPr>
              <w:t>（</w:t>
            </w:r>
            <w:r>
              <w:rPr>
                <w:rFonts w:hint="eastAsia" w:ascii="宋体" w:hAnsi="宋体" w:cs="宋体"/>
                <w:sz w:val="21"/>
                <w:szCs w:val="21"/>
                <w:lang w:val="en-US" w:eastAsia="zh-CN"/>
              </w:rPr>
              <w:t>kg/m</w:t>
            </w:r>
            <w:r>
              <w:rPr>
                <w:rFonts w:hint="eastAsia" w:ascii="宋体" w:hAnsi="宋体" w:cs="宋体"/>
                <w:sz w:val="21"/>
                <w:szCs w:val="21"/>
                <w:vertAlign w:val="superscript"/>
                <w:lang w:val="en-US" w:eastAsia="zh-CN"/>
              </w:rPr>
              <w:t>3</w:t>
            </w:r>
            <w:r>
              <w:rPr>
                <w:rFonts w:hint="eastAsia" w:ascii="宋体" w:hAnsi="宋体" w:cs="宋体"/>
                <w:sz w:val="21"/>
                <w:szCs w:val="21"/>
                <w:lang w:val="en-US" w:eastAsia="zh-CN"/>
              </w:rPr>
              <w:t>）</w:t>
            </w:r>
          </w:p>
        </w:tc>
        <w:tc>
          <w:tcPr>
            <w:tcW w:w="2696"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15</w:t>
            </w:r>
          </w:p>
        </w:tc>
        <w:tc>
          <w:tcPr>
            <w:tcW w:w="1909"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宋体" w:hAnsi="宋体" w:cs="宋体"/>
                <w:sz w:val="21"/>
                <w:szCs w:val="21"/>
                <w:lang w:val="en-US" w:eastAsia="zh-CN"/>
              </w:rPr>
              <w:t>-</w:t>
            </w:r>
          </w:p>
        </w:tc>
        <w:tc>
          <w:tcPr>
            <w:tcW w:w="1923"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宋体" w:hAnsi="宋体" w:cs="宋体"/>
                <w:sz w:val="21"/>
                <w:szCs w:val="21"/>
                <w:lang w:val="en-US" w:eastAsia="zh-CN"/>
              </w:rPr>
              <w:t>-</w:t>
            </w:r>
          </w:p>
        </w:tc>
        <w:tc>
          <w:tcPr>
            <w:tcW w:w="2022"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等静压破坏强度（MPa）</w:t>
            </w:r>
          </w:p>
        </w:tc>
        <w:tc>
          <w:tcPr>
            <w:tcW w:w="2696"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val="en-US" w:eastAsia="zh-CN"/>
              </w:rPr>
              <w:t>≥</w:t>
            </w:r>
            <w:r>
              <w:rPr>
                <w:rFonts w:hint="default" w:ascii="宋体" w:hAnsi="宋体" w:cs="宋体"/>
                <w:sz w:val="21"/>
                <w:szCs w:val="21"/>
                <w:lang w:val="en-US" w:eastAsia="zh-CN"/>
              </w:rPr>
              <w:t xml:space="preserve"> 1.</w:t>
            </w:r>
            <w:r>
              <w:rPr>
                <w:rFonts w:hint="eastAsia" w:ascii="宋体" w:hAnsi="宋体" w:cs="宋体"/>
                <w:sz w:val="21"/>
                <w:szCs w:val="21"/>
                <w:lang w:val="en-US" w:eastAsia="zh-CN"/>
              </w:rPr>
              <w:t>2</w:t>
            </w:r>
            <w:r>
              <w:rPr>
                <w:rFonts w:hint="default" w:ascii="宋体" w:hAnsi="宋体" w:cs="宋体"/>
                <w:sz w:val="21"/>
                <w:szCs w:val="21"/>
                <w:lang w:val="en-US" w:eastAsia="zh-CN"/>
              </w:rPr>
              <w:t>5×工作水压</w:t>
            </w:r>
          </w:p>
        </w:tc>
        <w:tc>
          <w:tcPr>
            <w:tcW w:w="1909"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val="en-US" w:eastAsia="zh-CN"/>
              </w:rPr>
              <w:t>≥</w:t>
            </w:r>
            <w:r>
              <w:rPr>
                <w:rFonts w:hint="default" w:ascii="宋体" w:hAnsi="宋体" w:cs="宋体"/>
                <w:sz w:val="21"/>
                <w:szCs w:val="21"/>
                <w:lang w:val="en-US" w:eastAsia="zh-CN"/>
              </w:rPr>
              <w:t xml:space="preserve"> 1.1</w:t>
            </w:r>
            <w:r>
              <w:rPr>
                <w:rFonts w:hint="eastAsia" w:ascii="宋体" w:hAnsi="宋体" w:cs="宋体"/>
                <w:sz w:val="21"/>
                <w:szCs w:val="21"/>
                <w:lang w:val="en-US" w:eastAsia="zh-CN"/>
              </w:rPr>
              <w:t>0</w:t>
            </w:r>
            <w:r>
              <w:rPr>
                <w:rFonts w:hint="default" w:ascii="宋体" w:hAnsi="宋体" w:cs="宋体"/>
                <w:sz w:val="21"/>
                <w:szCs w:val="21"/>
                <w:lang w:val="en-US" w:eastAsia="zh-CN"/>
              </w:rPr>
              <w:t>×工作水压</w:t>
            </w:r>
          </w:p>
        </w:tc>
        <w:tc>
          <w:tcPr>
            <w:tcW w:w="1923"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val="en-US" w:eastAsia="zh-CN"/>
              </w:rPr>
              <w:t>≥</w:t>
            </w:r>
            <w:r>
              <w:rPr>
                <w:rFonts w:hint="default" w:ascii="宋体" w:hAnsi="宋体" w:cs="宋体"/>
                <w:sz w:val="21"/>
                <w:szCs w:val="21"/>
                <w:lang w:val="en-US" w:eastAsia="zh-CN"/>
              </w:rPr>
              <w:t xml:space="preserve"> 1.</w:t>
            </w:r>
            <w:r>
              <w:rPr>
                <w:rFonts w:hint="eastAsia" w:ascii="宋体" w:hAnsi="宋体" w:cs="宋体"/>
                <w:sz w:val="21"/>
                <w:szCs w:val="21"/>
                <w:lang w:val="en-US" w:eastAsia="zh-CN"/>
              </w:rPr>
              <w:t>10</w:t>
            </w:r>
            <w:r>
              <w:rPr>
                <w:rFonts w:hint="default" w:ascii="宋体" w:hAnsi="宋体" w:cs="宋体"/>
                <w:sz w:val="21"/>
                <w:szCs w:val="21"/>
                <w:lang w:val="en-US" w:eastAsia="zh-CN"/>
              </w:rPr>
              <w:t>×工作水压</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1284" w:type="dxa"/>
            <w:vMerge w:val="restart"/>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吸水率（%）</w:t>
            </w:r>
          </w:p>
        </w:tc>
        <w:tc>
          <w:tcPr>
            <w:tcW w:w="1482" w:type="dxa"/>
            <w:tcBorders>
              <w:top w:val="double" w:color="auto" w:sz="4" w:space="0"/>
            </w:tcBorders>
            <w:vAlign w:val="center"/>
          </w:tcPr>
          <w:p>
            <w:pPr>
              <w:spacing w:after="0" w:line="240" w:lineRule="auto"/>
              <w:jc w:val="both"/>
              <w:rPr>
                <w:rFonts w:hint="default" w:ascii="宋体" w:hAnsi="宋体" w:cs="宋体"/>
                <w:sz w:val="21"/>
                <w:szCs w:val="21"/>
                <w:lang w:val="en-US" w:eastAsia="zh-CN"/>
              </w:rPr>
            </w:pPr>
            <w:r>
              <w:rPr>
                <w:rFonts w:hint="eastAsia" w:ascii="宋体" w:hAnsi="宋体" w:cs="宋体"/>
                <w:sz w:val="21"/>
                <w:szCs w:val="21"/>
                <w:lang w:val="en-US" w:eastAsia="zh-CN"/>
              </w:rPr>
              <w:t>24小时保压</w:t>
            </w:r>
          </w:p>
        </w:tc>
        <w:tc>
          <w:tcPr>
            <w:tcW w:w="2696"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1.0</w:t>
            </w:r>
          </w:p>
        </w:tc>
        <w:tc>
          <w:tcPr>
            <w:tcW w:w="1909"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1.0</w:t>
            </w:r>
          </w:p>
        </w:tc>
        <w:tc>
          <w:tcPr>
            <w:tcW w:w="1923"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1284" w:type="dxa"/>
            <w:vMerge w:val="continue"/>
            <w:vAlign w:val="center"/>
          </w:tcPr>
          <w:p>
            <w:pPr>
              <w:spacing w:after="0" w:line="240" w:lineRule="auto"/>
              <w:jc w:val="center"/>
              <w:rPr>
                <w:rFonts w:hint="eastAsia" w:ascii="宋体" w:hAnsi="宋体" w:cs="宋体"/>
                <w:sz w:val="21"/>
                <w:szCs w:val="21"/>
                <w:lang w:val="en-US" w:eastAsia="zh-CN"/>
              </w:rPr>
            </w:pPr>
          </w:p>
        </w:tc>
        <w:tc>
          <w:tcPr>
            <w:tcW w:w="1482" w:type="dxa"/>
            <w:tcBorders>
              <w:top w:val="double" w:color="auto" w:sz="4" w:space="0"/>
            </w:tcBorders>
            <w:vAlign w:val="center"/>
          </w:tcPr>
          <w:p>
            <w:pPr>
              <w:spacing w:after="0" w:line="240" w:lineRule="auto"/>
              <w:jc w:val="both"/>
              <w:rPr>
                <w:rFonts w:hint="default" w:ascii="宋体" w:hAnsi="宋体" w:cs="宋体"/>
                <w:sz w:val="21"/>
                <w:szCs w:val="21"/>
                <w:lang w:val="en-US" w:eastAsia="zh-CN"/>
              </w:rPr>
            </w:pPr>
            <w:r>
              <w:rPr>
                <w:rFonts w:hint="eastAsia" w:ascii="宋体" w:hAnsi="宋体" w:cs="宋体"/>
                <w:sz w:val="21"/>
                <w:szCs w:val="21"/>
                <w:lang w:val="en-US" w:eastAsia="zh-CN"/>
              </w:rPr>
              <w:t>7天保压</w:t>
            </w:r>
          </w:p>
        </w:tc>
        <w:tc>
          <w:tcPr>
            <w:tcW w:w="2696"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3.0</w:t>
            </w:r>
          </w:p>
        </w:tc>
        <w:tc>
          <w:tcPr>
            <w:tcW w:w="1909"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w:t>
            </w:r>
            <w:r>
              <w:rPr>
                <w:rFonts w:hint="default" w:ascii="宋体" w:hAnsi="宋体" w:cs="宋体"/>
                <w:sz w:val="21"/>
                <w:szCs w:val="21"/>
                <w:lang w:val="en-US" w:eastAsia="zh-CN"/>
              </w:rPr>
              <w:t>3</w:t>
            </w:r>
            <w:r>
              <w:rPr>
                <w:rFonts w:hint="eastAsia" w:ascii="宋体" w:hAnsi="宋体" w:cs="宋体"/>
                <w:sz w:val="21"/>
                <w:szCs w:val="21"/>
                <w:lang w:val="en-US" w:eastAsia="zh-CN"/>
              </w:rPr>
              <w:t>.0</w:t>
            </w:r>
          </w:p>
        </w:tc>
        <w:tc>
          <w:tcPr>
            <w:tcW w:w="1923"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w:t>
            </w:r>
            <w:r>
              <w:rPr>
                <w:rFonts w:hint="default" w:ascii="宋体" w:hAnsi="宋体" w:cs="宋体"/>
                <w:sz w:val="21"/>
                <w:szCs w:val="21"/>
                <w:lang w:val="en-US" w:eastAsia="zh-CN"/>
              </w:rPr>
              <w:t>3</w:t>
            </w:r>
            <w:r>
              <w:rPr>
                <w:rFonts w:hint="eastAsia" w:ascii="宋体" w:hAnsi="宋体" w:cs="宋体"/>
                <w:sz w:val="21"/>
                <w:szCs w:val="21"/>
                <w:lang w:val="en-US" w:eastAsia="zh-CN"/>
              </w:rPr>
              <w:t>.0</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1284" w:type="dxa"/>
            <w:vMerge w:val="continue"/>
            <w:vAlign w:val="center"/>
          </w:tcPr>
          <w:p>
            <w:pPr>
              <w:spacing w:after="0" w:line="240" w:lineRule="auto"/>
              <w:jc w:val="center"/>
              <w:rPr>
                <w:rFonts w:hint="eastAsia" w:ascii="宋体" w:hAnsi="宋体" w:cs="宋体"/>
                <w:sz w:val="21"/>
                <w:szCs w:val="21"/>
                <w:lang w:val="en-US" w:eastAsia="zh-CN"/>
              </w:rPr>
            </w:pPr>
          </w:p>
        </w:tc>
        <w:tc>
          <w:tcPr>
            <w:tcW w:w="1482" w:type="dxa"/>
            <w:tcBorders>
              <w:top w:val="double" w:color="auto" w:sz="4" w:space="0"/>
            </w:tcBorders>
            <w:vAlign w:val="center"/>
          </w:tcPr>
          <w:p>
            <w:pPr>
              <w:spacing w:after="0" w:line="240" w:lineRule="auto"/>
              <w:jc w:val="both"/>
              <w:rPr>
                <w:rFonts w:hint="default" w:ascii="宋体" w:hAnsi="宋体" w:cs="宋体"/>
                <w:sz w:val="21"/>
                <w:szCs w:val="21"/>
                <w:lang w:val="en-US" w:eastAsia="zh-CN"/>
              </w:rPr>
            </w:pPr>
            <w:r>
              <w:rPr>
                <w:rFonts w:hint="eastAsia" w:ascii="宋体" w:hAnsi="宋体" w:cs="宋体"/>
                <w:sz w:val="21"/>
                <w:szCs w:val="21"/>
                <w:lang w:val="en-US" w:eastAsia="zh-CN"/>
              </w:rPr>
              <w:t>200次水压循环</w:t>
            </w:r>
          </w:p>
        </w:tc>
        <w:tc>
          <w:tcPr>
            <w:tcW w:w="2696"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3.0</w:t>
            </w:r>
          </w:p>
        </w:tc>
        <w:tc>
          <w:tcPr>
            <w:tcW w:w="1909"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宋体" w:hAnsi="宋体" w:cs="宋体"/>
                <w:sz w:val="21"/>
                <w:szCs w:val="21"/>
                <w:lang w:val="en-US" w:eastAsia="zh-CN"/>
              </w:rPr>
              <w:t>-</w:t>
            </w:r>
          </w:p>
        </w:tc>
        <w:tc>
          <w:tcPr>
            <w:tcW w:w="1923" w:type="dxa"/>
            <w:tcBorders>
              <w:top w:val="double" w:color="auto" w:sz="4" w:space="0"/>
            </w:tcBorders>
            <w:vAlign w:val="center"/>
          </w:tcPr>
          <w:p>
            <w:pPr>
              <w:spacing w:after="0" w:line="240" w:lineRule="auto"/>
              <w:jc w:val="center"/>
              <w:rPr>
                <w:rFonts w:hint="default" w:ascii="宋体" w:hAnsi="宋体" w:cs="宋体" w:eastAsiaTheme="minorEastAsia"/>
                <w:sz w:val="21"/>
                <w:szCs w:val="21"/>
                <w:lang w:val="en-US" w:eastAsia="zh-CN"/>
              </w:rPr>
            </w:pPr>
            <w:r>
              <w:rPr>
                <w:rFonts w:hint="default" w:ascii="Arial" w:hAnsi="Arial" w:eastAsia="宋体" w:cs="Arial"/>
                <w:sz w:val="21"/>
                <w:szCs w:val="21"/>
                <w:lang w:eastAsia="zh-CN"/>
              </w:rPr>
              <w:t>≤</w:t>
            </w:r>
            <w:r>
              <w:rPr>
                <w:rFonts w:hint="eastAsia" w:ascii="宋体" w:hAnsi="宋体" w:cs="宋体"/>
                <w:sz w:val="21"/>
                <w:szCs w:val="21"/>
                <w:lang w:val="en-US" w:eastAsia="zh-CN"/>
              </w:rPr>
              <w:t xml:space="preserve"> </w:t>
            </w:r>
            <w:r>
              <w:rPr>
                <w:rFonts w:hint="default" w:ascii="宋体" w:hAnsi="宋体" w:cs="宋体"/>
                <w:sz w:val="21"/>
                <w:szCs w:val="21"/>
                <w:lang w:val="en-US" w:eastAsia="zh-CN"/>
              </w:rPr>
              <w:t>3</w:t>
            </w:r>
            <w:r>
              <w:rPr>
                <w:rFonts w:hint="eastAsia" w:ascii="宋体" w:hAnsi="宋体" w:cs="宋体"/>
                <w:sz w:val="21"/>
                <w:szCs w:val="21"/>
                <w:lang w:val="en-US" w:eastAsia="zh-CN"/>
              </w:rPr>
              <w:t>.0</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eastAsia="宋体" w:cs="宋体"/>
                <w:sz w:val="21"/>
                <w:szCs w:val="21"/>
                <w:lang w:eastAsia="zh-CN"/>
              </w:rPr>
            </w:pPr>
          </w:p>
        </w:tc>
        <w:tc>
          <w:tcPr>
            <w:tcW w:w="2766" w:type="dxa"/>
            <w:gridSpan w:val="2"/>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体积</w:t>
            </w:r>
            <w:r>
              <w:rPr>
                <w:rFonts w:hint="eastAsia" w:ascii="宋体" w:hAnsi="宋体" w:cs="宋体"/>
                <w:sz w:val="21"/>
                <w:szCs w:val="21"/>
                <w:lang w:val="en-US" w:eastAsia="zh-CN"/>
              </w:rPr>
              <w:t>弹性</w:t>
            </w:r>
            <w:r>
              <w:rPr>
                <w:rFonts w:hint="eastAsia" w:ascii="宋体" w:hAnsi="宋体" w:eastAsia="宋体" w:cs="宋体"/>
                <w:sz w:val="21"/>
                <w:szCs w:val="21"/>
                <w:lang w:eastAsia="zh-CN"/>
              </w:rPr>
              <w:t>模量</w:t>
            </w:r>
            <w:r>
              <w:rPr>
                <w:rFonts w:hint="eastAsia" w:ascii="宋体" w:hAnsi="宋体" w:cs="宋体"/>
                <w:sz w:val="21"/>
                <w:szCs w:val="21"/>
                <w:lang w:val="en-US" w:eastAsia="zh-CN"/>
              </w:rPr>
              <w:t>（MPa）</w:t>
            </w:r>
          </w:p>
        </w:tc>
        <w:tc>
          <w:tcPr>
            <w:tcW w:w="2696"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cs="宋体"/>
                <w:sz w:val="21"/>
                <w:szCs w:val="21"/>
                <w:lang w:val="en-US" w:eastAsia="zh-CN"/>
              </w:rPr>
              <w:t>2000</w:t>
            </w:r>
          </w:p>
        </w:tc>
        <w:tc>
          <w:tcPr>
            <w:tcW w:w="1909"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cs="宋体"/>
                <w:sz w:val="21"/>
                <w:szCs w:val="21"/>
                <w:lang w:val="en-US" w:eastAsia="zh-CN"/>
              </w:rPr>
              <w:t>1800</w:t>
            </w:r>
          </w:p>
        </w:tc>
        <w:tc>
          <w:tcPr>
            <w:tcW w:w="1923"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1900</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单轴压缩强度（MPa）</w:t>
            </w:r>
          </w:p>
        </w:tc>
        <w:tc>
          <w:tcPr>
            <w:tcW w:w="2696"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50</w:t>
            </w:r>
          </w:p>
        </w:tc>
        <w:tc>
          <w:tcPr>
            <w:tcW w:w="1909" w:type="dxa"/>
            <w:tcBorders>
              <w:top w:val="doub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50</w:t>
            </w:r>
          </w:p>
        </w:tc>
        <w:tc>
          <w:tcPr>
            <w:tcW w:w="1923"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50</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拉伸强度（MPa）</w:t>
            </w:r>
          </w:p>
        </w:tc>
        <w:tc>
          <w:tcPr>
            <w:tcW w:w="2696"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cs="宋体"/>
                <w:sz w:val="21"/>
                <w:szCs w:val="21"/>
                <w:lang w:val="en-US" w:eastAsia="zh-CN"/>
              </w:rPr>
              <w:t>12</w:t>
            </w:r>
          </w:p>
        </w:tc>
        <w:tc>
          <w:tcPr>
            <w:tcW w:w="1909"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宋体" w:hAnsi="宋体" w:cs="宋体"/>
                <w:sz w:val="21"/>
                <w:szCs w:val="21"/>
                <w:lang w:val="en-US" w:eastAsia="zh-CN"/>
              </w:rPr>
              <w:t>-</w:t>
            </w:r>
          </w:p>
        </w:tc>
        <w:tc>
          <w:tcPr>
            <w:tcW w:w="1923" w:type="dxa"/>
            <w:tcBorders>
              <w:top w:val="doub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10</w:t>
            </w:r>
          </w:p>
        </w:tc>
        <w:tc>
          <w:tcPr>
            <w:tcW w:w="2022"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剪切强度（MPa）</w:t>
            </w:r>
          </w:p>
        </w:tc>
        <w:tc>
          <w:tcPr>
            <w:tcW w:w="2696" w:type="dxa"/>
            <w:tcBorders>
              <w:top w:val="double" w:color="auto" w:sz="4" w:space="0"/>
              <w:bottom w:val="sing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cs="宋体"/>
                <w:sz w:val="21"/>
                <w:szCs w:val="21"/>
                <w:lang w:val="en-US" w:eastAsia="zh-CN"/>
              </w:rPr>
              <w:t>15</w:t>
            </w:r>
          </w:p>
        </w:tc>
        <w:tc>
          <w:tcPr>
            <w:tcW w:w="1909" w:type="dxa"/>
            <w:tcBorders>
              <w:top w:val="double" w:color="auto" w:sz="4" w:space="0"/>
              <w:bottom w:val="sing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cs="宋体"/>
                <w:sz w:val="21"/>
                <w:szCs w:val="21"/>
                <w:lang w:val="en-US" w:eastAsia="zh-CN"/>
              </w:rPr>
              <w:t>15</w:t>
            </w:r>
          </w:p>
        </w:tc>
        <w:tc>
          <w:tcPr>
            <w:tcW w:w="1923" w:type="dxa"/>
            <w:tcBorders>
              <w:top w:val="double" w:color="auto" w:sz="4" w:space="0"/>
              <w:bottom w:val="sing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14</w:t>
            </w:r>
          </w:p>
        </w:tc>
        <w:tc>
          <w:tcPr>
            <w:tcW w:w="2022" w:type="dxa"/>
            <w:tcBorders>
              <w:top w:val="doub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77" w:type="dxa"/>
            <w:tcBorders>
              <w:top w:val="doub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restart"/>
            <w:vAlign w:val="center"/>
          </w:tcPr>
          <w:p>
            <w:pPr>
              <w:spacing w:after="0"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成品</w:t>
            </w:r>
          </w:p>
        </w:tc>
        <w:tc>
          <w:tcPr>
            <w:tcW w:w="2766" w:type="dxa"/>
            <w:gridSpan w:val="2"/>
            <w:vAlign w:val="center"/>
          </w:tcPr>
          <w:p>
            <w:pPr>
              <w:spacing w:after="0"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尺寸</w:t>
            </w:r>
          </w:p>
        </w:tc>
        <w:tc>
          <w:tcPr>
            <w:tcW w:w="2696" w:type="dxa"/>
            <w:tcBorders>
              <w:top w:val="single" w:color="auto" w:sz="4" w:space="0"/>
              <w:bottom w:val="single" w:color="auto" w:sz="4" w:space="0"/>
            </w:tcBorders>
            <w:vAlign w:val="center"/>
          </w:tcPr>
          <w:p>
            <w:pPr>
              <w:spacing w:after="0" w:line="240" w:lineRule="auto"/>
              <w:jc w:val="center"/>
              <w:rPr>
                <w:rFonts w:hint="eastAsia" w:ascii="宋体" w:hAnsi="宋体" w:cs="宋体"/>
                <w:sz w:val="21"/>
                <w:szCs w:val="21"/>
                <w:lang w:val="en-US" w:eastAsia="zh-CN"/>
              </w:rPr>
            </w:pPr>
            <w:r>
              <w:rPr>
                <w:rFonts w:hint="eastAsia" w:ascii="Arial" w:hAnsi="Arial" w:cs="Arial"/>
                <w:sz w:val="21"/>
                <w:szCs w:val="21"/>
                <w:lang w:val="en-US" w:eastAsia="zh-CN"/>
              </w:rPr>
              <w:t xml:space="preserve">模具浇铸：设计值 </w:t>
            </w:r>
            <w:r>
              <w:rPr>
                <w:rFonts w:hint="default" w:ascii="Times New Roman" w:hAnsi="Times New Roman" w:cs="Times New Roman"/>
                <w:sz w:val="21"/>
                <w:szCs w:val="21"/>
                <w:lang w:val="en-US" w:eastAsia="zh-CN"/>
              </w:rPr>
              <w:t>±</w:t>
            </w:r>
            <w:r>
              <w:rPr>
                <w:rFonts w:hint="eastAsia" w:ascii="宋体" w:hAnsi="宋体" w:eastAsia="宋体" w:cs="宋体"/>
                <w:sz w:val="21"/>
                <w:szCs w:val="21"/>
                <w:lang w:val="en-US" w:eastAsia="zh-CN"/>
              </w:rPr>
              <w:t xml:space="preserve"> 1.0%</w:t>
            </w:r>
            <w:r>
              <w:rPr>
                <w:rFonts w:hint="eastAsia" w:ascii="宋体" w:hAnsi="宋体" w:cs="宋体"/>
                <w:sz w:val="21"/>
                <w:szCs w:val="21"/>
                <w:lang w:val="en-US" w:eastAsia="zh-CN"/>
              </w:rPr>
              <w:t>；</w:t>
            </w:r>
          </w:p>
          <w:p>
            <w:pPr>
              <w:spacing w:after="0" w:line="240" w:lineRule="auto"/>
              <w:jc w:val="center"/>
              <w:rPr>
                <w:rFonts w:hint="default" w:ascii="Arial" w:hAnsi="Arial" w:cs="Arial"/>
                <w:sz w:val="21"/>
                <w:szCs w:val="21"/>
                <w:lang w:val="en-US" w:eastAsia="zh-CN"/>
              </w:rPr>
            </w:pPr>
            <w:r>
              <w:rPr>
                <w:rFonts w:hint="eastAsia" w:ascii="宋体" w:hAnsi="宋体" w:cs="宋体"/>
                <w:sz w:val="21"/>
                <w:szCs w:val="21"/>
                <w:lang w:val="en-US" w:eastAsia="zh-CN"/>
              </w:rPr>
              <w:t>机械加工：</w:t>
            </w:r>
            <w:r>
              <w:rPr>
                <w:rFonts w:hint="eastAsia" w:ascii="Arial" w:hAnsi="Arial" w:cs="Arial"/>
                <w:sz w:val="21"/>
                <w:szCs w:val="21"/>
                <w:lang w:val="en-US" w:eastAsia="zh-CN"/>
              </w:rPr>
              <w:t xml:space="preserve">设计值 </w:t>
            </w:r>
            <w:r>
              <w:rPr>
                <w:rFonts w:hint="default" w:ascii="Times New Roman" w:hAnsi="Times New Roman" w:cs="Times New Roman"/>
                <w:sz w:val="21"/>
                <w:szCs w:val="21"/>
                <w:lang w:val="en-US" w:eastAsia="zh-CN"/>
              </w:rPr>
              <w:t>±</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w:t>
            </w:r>
          </w:p>
        </w:tc>
        <w:tc>
          <w:tcPr>
            <w:tcW w:w="1909" w:type="dxa"/>
            <w:tcBorders>
              <w:top w:val="single" w:color="auto" w:sz="4" w:space="0"/>
              <w:bottom w:val="sing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宋体" w:hAnsi="宋体" w:cs="宋体"/>
                <w:sz w:val="21"/>
                <w:szCs w:val="21"/>
                <w:lang w:val="en-US" w:eastAsia="zh-CN"/>
              </w:rPr>
              <w:t>-</w:t>
            </w:r>
          </w:p>
        </w:tc>
        <w:tc>
          <w:tcPr>
            <w:tcW w:w="1923" w:type="dxa"/>
            <w:tcBorders>
              <w:top w:val="single" w:color="auto" w:sz="4" w:space="0"/>
              <w:bottom w:val="sing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宋体" w:hAnsi="宋体" w:cs="宋体"/>
                <w:sz w:val="21"/>
                <w:szCs w:val="21"/>
                <w:lang w:val="en-US" w:eastAsia="zh-CN"/>
              </w:rPr>
              <w:t>-</w:t>
            </w:r>
          </w:p>
        </w:tc>
        <w:tc>
          <w:tcPr>
            <w:tcW w:w="2022" w:type="dxa"/>
            <w:tcBorders>
              <w:top w:val="single" w:color="auto" w:sz="4" w:space="0"/>
              <w:bottom w:val="sing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宋体" w:hAnsi="宋体" w:cs="宋体"/>
                <w:sz w:val="21"/>
                <w:szCs w:val="21"/>
                <w:lang w:val="en-US" w:eastAsia="zh-CN"/>
              </w:rPr>
              <w:t>-</w:t>
            </w:r>
          </w:p>
        </w:tc>
        <w:tc>
          <w:tcPr>
            <w:tcW w:w="1977" w:type="dxa"/>
            <w:tcBorders>
              <w:top w:val="single" w:color="auto" w:sz="4" w:space="0"/>
              <w:bottom w:val="single" w:color="auto" w:sz="4" w:space="0"/>
            </w:tcBorders>
            <w:vAlign w:val="center"/>
          </w:tcPr>
          <w:p>
            <w:pPr>
              <w:spacing w:after="0"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满足图纸公差要求。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干重</w:t>
            </w:r>
          </w:p>
        </w:tc>
        <w:tc>
          <w:tcPr>
            <w:tcW w:w="2696"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eastAsia" w:ascii="Arial" w:hAnsi="Arial" w:cs="Arial"/>
                <w:sz w:val="21"/>
                <w:szCs w:val="21"/>
                <w:lang w:val="en-US" w:eastAsia="zh-CN"/>
              </w:rPr>
              <w:t xml:space="preserve">单个：设计值 </w:t>
            </w:r>
            <w:r>
              <w:rPr>
                <w:rFonts w:hint="default" w:ascii="Times New Roman" w:hAnsi="Times New Roman" w:cs="Times New Roman"/>
                <w:sz w:val="21"/>
                <w:szCs w:val="21"/>
                <w:lang w:val="en-US" w:eastAsia="zh-CN"/>
              </w:rPr>
              <w:t>±</w:t>
            </w:r>
            <w:r>
              <w:rPr>
                <w:rFonts w:hint="eastAsia" w:ascii="Arial" w:hAnsi="Arial" w:cs="Arial"/>
                <w:sz w:val="21"/>
                <w:szCs w:val="21"/>
                <w:lang w:val="en-US" w:eastAsia="zh-CN"/>
              </w:rPr>
              <w:t xml:space="preserve"> </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p>
          <w:p>
            <w:pPr>
              <w:spacing w:after="0" w:line="240" w:lineRule="auto"/>
              <w:jc w:val="center"/>
              <w:rPr>
                <w:rFonts w:hint="eastAsia" w:ascii="Arial" w:hAnsi="Arial" w:cs="Arial"/>
                <w:sz w:val="21"/>
                <w:szCs w:val="21"/>
                <w:lang w:val="en-US" w:eastAsia="zh-CN"/>
              </w:rPr>
            </w:pPr>
            <w:r>
              <w:rPr>
                <w:rFonts w:hint="eastAsia" w:ascii="Arial" w:hAnsi="Arial" w:cs="Arial"/>
                <w:sz w:val="21"/>
                <w:szCs w:val="21"/>
                <w:lang w:val="en-US" w:eastAsia="zh-CN"/>
              </w:rPr>
              <w:t xml:space="preserve">平均：设计值 </w:t>
            </w:r>
            <w:r>
              <w:rPr>
                <w:rFonts w:hint="default" w:ascii="Times New Roman" w:hAnsi="Times New Roman" w:cs="Times New Roman"/>
                <w:sz w:val="21"/>
                <w:szCs w:val="21"/>
                <w:lang w:val="en-US" w:eastAsia="zh-CN"/>
              </w:rPr>
              <w:t>±</w:t>
            </w:r>
            <w:r>
              <w:rPr>
                <w:rFonts w:hint="eastAsia" w:ascii="Arial" w:hAnsi="Arial" w:cs="Arial"/>
                <w:sz w:val="21"/>
                <w:szCs w:val="21"/>
                <w:lang w:val="en-US" w:eastAsia="zh-CN"/>
              </w:rPr>
              <w:t xml:space="preserve"> </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p>
        </w:tc>
        <w:tc>
          <w:tcPr>
            <w:tcW w:w="1909" w:type="dxa"/>
            <w:tcBorders>
              <w:top w:val="single" w:color="auto" w:sz="4" w:space="0"/>
              <w:bottom w:val="single" w:color="auto" w:sz="4" w:space="0"/>
            </w:tcBorders>
            <w:vAlign w:val="center"/>
          </w:tcPr>
          <w:p>
            <w:pPr>
              <w:spacing w:after="0" w:line="240" w:lineRule="auto"/>
              <w:jc w:val="center"/>
              <w:rPr>
                <w:rFonts w:hint="default" w:ascii="Arial" w:hAnsi="Arial" w:cs="Arial"/>
                <w:sz w:val="21"/>
                <w:szCs w:val="21"/>
                <w:lang w:val="en-US" w:eastAsia="zh-CN"/>
              </w:rPr>
            </w:pPr>
            <w:r>
              <w:rPr>
                <w:rFonts w:hint="default" w:ascii="宋体" w:hAnsi="宋体" w:cs="宋体"/>
                <w:sz w:val="21"/>
                <w:szCs w:val="21"/>
                <w:lang w:val="en-US" w:eastAsia="zh-CN"/>
              </w:rPr>
              <w:t>-</w:t>
            </w:r>
          </w:p>
        </w:tc>
        <w:tc>
          <w:tcPr>
            <w:tcW w:w="1923" w:type="dxa"/>
            <w:tcBorders>
              <w:top w:val="single" w:color="auto" w:sz="4" w:space="0"/>
              <w:bottom w:val="single" w:color="auto" w:sz="4" w:space="0"/>
            </w:tcBorders>
            <w:vAlign w:val="center"/>
          </w:tcPr>
          <w:p>
            <w:pPr>
              <w:spacing w:after="0" w:line="240" w:lineRule="auto"/>
              <w:jc w:val="center"/>
              <w:rPr>
                <w:rFonts w:hint="eastAsia" w:ascii="Arial" w:hAnsi="Arial" w:cs="Arial"/>
                <w:sz w:val="21"/>
                <w:szCs w:val="21"/>
                <w:lang w:val="en-US" w:eastAsia="zh-CN"/>
              </w:rPr>
            </w:pPr>
            <w:r>
              <w:rPr>
                <w:rFonts w:hint="default" w:ascii="宋体" w:hAnsi="宋体" w:cs="宋体"/>
                <w:sz w:val="21"/>
                <w:szCs w:val="21"/>
                <w:lang w:val="en-US" w:eastAsia="zh-CN"/>
              </w:rPr>
              <w:t>-</w:t>
            </w:r>
          </w:p>
        </w:tc>
        <w:tc>
          <w:tcPr>
            <w:tcW w:w="2022" w:type="dxa"/>
            <w:tcBorders>
              <w:top w:val="single" w:color="auto" w:sz="4" w:space="0"/>
              <w:bottom w:val="single" w:color="auto" w:sz="4" w:space="0"/>
            </w:tcBorders>
            <w:vAlign w:val="center"/>
          </w:tcPr>
          <w:p>
            <w:pPr>
              <w:spacing w:after="0" w:line="240" w:lineRule="auto"/>
              <w:jc w:val="center"/>
              <w:rPr>
                <w:rFonts w:hint="eastAsia" w:ascii="Arial" w:hAnsi="Arial" w:cs="Arial"/>
                <w:sz w:val="21"/>
                <w:szCs w:val="21"/>
                <w:lang w:val="en-US" w:eastAsia="zh-CN"/>
              </w:rPr>
            </w:pPr>
            <w:r>
              <w:rPr>
                <w:rFonts w:hint="default" w:ascii="宋体" w:hAnsi="宋体" w:cs="宋体"/>
                <w:sz w:val="21"/>
                <w:szCs w:val="21"/>
                <w:lang w:val="en-US" w:eastAsia="zh-CN"/>
              </w:rPr>
              <w:t>-</w:t>
            </w:r>
          </w:p>
        </w:tc>
        <w:tc>
          <w:tcPr>
            <w:tcW w:w="1977" w:type="dxa"/>
            <w:tcBorders>
              <w:top w:val="single" w:color="auto" w:sz="4" w:space="0"/>
              <w:bottom w:val="single" w:color="auto" w:sz="4" w:space="0"/>
            </w:tcBorders>
            <w:vAlign w:val="center"/>
          </w:tcPr>
          <w:p>
            <w:pPr>
              <w:spacing w:after="0" w:line="240" w:lineRule="auto"/>
              <w:jc w:val="center"/>
              <w:rPr>
                <w:rFonts w:hint="eastAsia" w:ascii="Arial" w:hAnsi="Arial" w:cs="Arial"/>
                <w:sz w:val="21"/>
                <w:szCs w:val="21"/>
                <w:lang w:val="en-US"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净浮力</w:t>
            </w:r>
          </w:p>
        </w:tc>
        <w:tc>
          <w:tcPr>
            <w:tcW w:w="2696"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eastAsia" w:ascii="Arial" w:hAnsi="Arial" w:cs="Arial"/>
                <w:sz w:val="21"/>
                <w:szCs w:val="21"/>
                <w:lang w:val="en-US" w:eastAsia="zh-CN"/>
              </w:rPr>
              <w:t xml:space="preserve">单个：设计值 </w:t>
            </w:r>
            <w:r>
              <w:rPr>
                <w:rFonts w:hint="default" w:ascii="Times New Roman" w:hAnsi="Times New Roman" w:cs="Times New Roman"/>
                <w:sz w:val="21"/>
                <w:szCs w:val="21"/>
                <w:lang w:val="en-US" w:eastAsia="zh-CN"/>
              </w:rPr>
              <w:t>±</w:t>
            </w:r>
            <w:r>
              <w:rPr>
                <w:rFonts w:hint="eastAsia" w:ascii="Arial" w:hAnsi="Arial" w:cs="Arial"/>
                <w:sz w:val="21"/>
                <w:szCs w:val="21"/>
                <w:lang w:val="en-US" w:eastAsia="zh-CN"/>
              </w:rPr>
              <w:t xml:space="preserve"> </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p>
          <w:p>
            <w:pPr>
              <w:spacing w:after="0" w:line="240" w:lineRule="auto"/>
              <w:jc w:val="center"/>
              <w:rPr>
                <w:rFonts w:hint="eastAsia" w:ascii="Arial" w:hAnsi="Arial" w:cs="Arial"/>
                <w:sz w:val="21"/>
                <w:szCs w:val="21"/>
                <w:lang w:val="en-US" w:eastAsia="zh-CN"/>
              </w:rPr>
            </w:pPr>
            <w:r>
              <w:rPr>
                <w:rFonts w:hint="eastAsia" w:ascii="Arial" w:hAnsi="Arial" w:cs="Arial"/>
                <w:sz w:val="21"/>
                <w:szCs w:val="21"/>
                <w:lang w:val="en-US" w:eastAsia="zh-CN"/>
              </w:rPr>
              <w:t xml:space="preserve">平均：设计值 </w:t>
            </w:r>
            <w:r>
              <w:rPr>
                <w:rFonts w:hint="default" w:ascii="Times New Roman" w:hAnsi="Times New Roman" w:cs="Times New Roman"/>
                <w:sz w:val="21"/>
                <w:szCs w:val="21"/>
                <w:lang w:val="en-US" w:eastAsia="zh-CN"/>
              </w:rPr>
              <w:t>±</w:t>
            </w:r>
            <w:r>
              <w:rPr>
                <w:rFonts w:hint="eastAsia" w:ascii="Arial" w:hAnsi="Arial" w:cs="Arial"/>
                <w:sz w:val="21"/>
                <w:szCs w:val="21"/>
                <w:lang w:val="en-US" w:eastAsia="zh-CN"/>
              </w:rPr>
              <w:t xml:space="preserve"> </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p>
        </w:tc>
        <w:tc>
          <w:tcPr>
            <w:tcW w:w="1909" w:type="dxa"/>
            <w:tcBorders>
              <w:top w:val="single" w:color="auto" w:sz="4" w:space="0"/>
              <w:bottom w:val="single" w:color="auto" w:sz="4" w:space="0"/>
            </w:tcBorders>
            <w:vAlign w:val="center"/>
          </w:tcPr>
          <w:p>
            <w:pPr>
              <w:spacing w:after="0" w:line="240" w:lineRule="auto"/>
              <w:jc w:val="center"/>
              <w:rPr>
                <w:rFonts w:hint="eastAsia" w:ascii="Arial" w:hAnsi="Arial" w:cs="Arial"/>
                <w:sz w:val="21"/>
                <w:szCs w:val="21"/>
                <w:lang w:val="en-US" w:eastAsia="zh-CN"/>
              </w:rPr>
            </w:pPr>
            <w:r>
              <w:rPr>
                <w:rFonts w:hint="default" w:ascii="宋体" w:hAnsi="宋体" w:cs="宋体"/>
                <w:sz w:val="21"/>
                <w:szCs w:val="21"/>
                <w:lang w:val="en-US" w:eastAsia="zh-CN"/>
              </w:rPr>
              <w:t>-</w:t>
            </w:r>
          </w:p>
        </w:tc>
        <w:tc>
          <w:tcPr>
            <w:tcW w:w="1923" w:type="dxa"/>
            <w:tcBorders>
              <w:top w:val="single" w:color="auto" w:sz="4" w:space="0"/>
              <w:bottom w:val="single" w:color="auto" w:sz="4" w:space="0"/>
            </w:tcBorders>
            <w:vAlign w:val="center"/>
          </w:tcPr>
          <w:p>
            <w:pPr>
              <w:spacing w:after="0" w:line="240" w:lineRule="auto"/>
              <w:jc w:val="center"/>
              <w:rPr>
                <w:rFonts w:hint="eastAsia" w:ascii="Arial" w:hAnsi="Arial" w:cs="Arial"/>
                <w:sz w:val="21"/>
                <w:szCs w:val="21"/>
                <w:lang w:val="en-US" w:eastAsia="zh-CN"/>
              </w:rPr>
            </w:pPr>
            <w:r>
              <w:rPr>
                <w:rFonts w:hint="default" w:ascii="宋体" w:hAnsi="宋体" w:cs="宋体"/>
                <w:sz w:val="21"/>
                <w:szCs w:val="21"/>
                <w:lang w:val="en-US" w:eastAsia="zh-CN"/>
              </w:rPr>
              <w:t>-</w:t>
            </w:r>
          </w:p>
        </w:tc>
        <w:tc>
          <w:tcPr>
            <w:tcW w:w="2022"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eastAsia" w:ascii="Arial" w:hAnsi="Arial" w:cs="Arial"/>
                <w:sz w:val="21"/>
                <w:szCs w:val="21"/>
                <w:lang w:val="en-US" w:eastAsia="zh-CN"/>
              </w:rPr>
              <w:t xml:space="preserve">单个：设计值 </w:t>
            </w:r>
            <w:r>
              <w:rPr>
                <w:rFonts w:hint="default" w:ascii="Times New Roman" w:hAnsi="Times New Roman" w:cs="Times New Roman"/>
                <w:sz w:val="21"/>
                <w:szCs w:val="21"/>
                <w:lang w:val="en-US" w:eastAsia="zh-CN"/>
              </w:rPr>
              <w:t>±</w:t>
            </w:r>
            <w:r>
              <w:rPr>
                <w:rFonts w:hint="eastAsia" w:ascii="Arial" w:hAnsi="Arial" w:cs="Arial"/>
                <w:sz w:val="21"/>
                <w:szCs w:val="21"/>
                <w:lang w:val="en-US" w:eastAsia="zh-CN"/>
              </w:rPr>
              <w:t xml:space="preserve"> </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p>
          <w:p>
            <w:pPr>
              <w:spacing w:after="0" w:line="240" w:lineRule="auto"/>
              <w:jc w:val="center"/>
              <w:rPr>
                <w:rFonts w:hint="eastAsia" w:ascii="Arial" w:hAnsi="Arial" w:cs="Arial"/>
                <w:sz w:val="21"/>
                <w:szCs w:val="21"/>
                <w:lang w:val="en-US" w:eastAsia="zh-CN"/>
              </w:rPr>
            </w:pPr>
            <w:r>
              <w:rPr>
                <w:rFonts w:hint="eastAsia" w:ascii="Arial" w:hAnsi="Arial" w:cs="Arial"/>
                <w:sz w:val="21"/>
                <w:szCs w:val="21"/>
                <w:lang w:val="en-US" w:eastAsia="zh-CN"/>
              </w:rPr>
              <w:t xml:space="preserve">平均：设计值 </w:t>
            </w:r>
            <w:r>
              <w:rPr>
                <w:rFonts w:hint="default" w:ascii="Times New Roman" w:hAnsi="Times New Roman" w:cs="Times New Roman"/>
                <w:sz w:val="21"/>
                <w:szCs w:val="21"/>
                <w:lang w:val="en-US" w:eastAsia="zh-CN"/>
              </w:rPr>
              <w:t>±</w:t>
            </w:r>
            <w:r>
              <w:rPr>
                <w:rFonts w:hint="eastAsia" w:ascii="Arial" w:hAnsi="Arial" w:cs="Arial"/>
                <w:sz w:val="21"/>
                <w:szCs w:val="21"/>
                <w:lang w:val="en-US" w:eastAsia="zh-CN"/>
              </w:rPr>
              <w:t xml:space="preserve"> </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p>
        </w:tc>
        <w:tc>
          <w:tcPr>
            <w:tcW w:w="1977" w:type="dxa"/>
            <w:tcBorders>
              <w:top w:val="single" w:color="auto" w:sz="4" w:space="0"/>
              <w:bottom w:val="single" w:color="auto" w:sz="4" w:space="0"/>
            </w:tcBorders>
            <w:vAlign w:val="center"/>
          </w:tcPr>
          <w:p>
            <w:pPr>
              <w:spacing w:after="0" w:line="240" w:lineRule="auto"/>
              <w:jc w:val="center"/>
              <w:rPr>
                <w:rFonts w:hint="default" w:ascii="Arial" w:hAnsi="Arial" w:cs="Arial"/>
                <w:sz w:val="21"/>
                <w:szCs w:val="21"/>
                <w:lang w:val="en-US" w:eastAsia="zh-CN"/>
              </w:rPr>
            </w:pPr>
            <w:r>
              <w:rPr>
                <w:rFonts w:hint="eastAsia" w:ascii="Arial" w:hAnsi="Arial" w:cs="Arial"/>
                <w:sz w:val="21"/>
                <w:szCs w:val="21"/>
                <w:lang w:val="en-US" w:eastAsia="zh-CN"/>
              </w:rPr>
              <w:t>满足采购方要求。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在位浮力损失</w:t>
            </w:r>
          </w:p>
          <w:p>
            <w:pPr>
              <w:spacing w:after="0"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（工作水压）</w:t>
            </w:r>
          </w:p>
        </w:tc>
        <w:tc>
          <w:tcPr>
            <w:tcW w:w="2696"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Arial" w:hAnsi="Arial" w:cs="Arial"/>
                <w:sz w:val="21"/>
                <w:szCs w:val="21"/>
                <w:lang w:val="en-US" w:eastAsia="zh-CN"/>
              </w:rPr>
              <w:t>年（拟合）</w:t>
            </w:r>
            <w:r>
              <w:rPr>
                <w:rFonts w:hint="default" w:ascii="Arial" w:hAnsi="Arial" w:eastAsia="宋体" w:cs="Arial"/>
                <w:sz w:val="21"/>
                <w:szCs w:val="21"/>
                <w:lang w:eastAsia="zh-CN"/>
              </w:rPr>
              <w:t>≤</w:t>
            </w:r>
            <w:r>
              <w:rPr>
                <w:rFonts w:hint="eastAsia" w:ascii="Arial" w:hAnsi="Arial" w:cs="Arial"/>
                <w:sz w:val="21"/>
                <w:szCs w:val="21"/>
                <w:lang w:val="en-US" w:eastAsia="zh-CN"/>
              </w:rPr>
              <w:t xml:space="preserve"> </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.5%</w:t>
            </w:r>
          </w:p>
        </w:tc>
        <w:tc>
          <w:tcPr>
            <w:tcW w:w="1909"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default" w:ascii="宋体" w:hAnsi="宋体" w:cs="宋体"/>
                <w:sz w:val="21"/>
                <w:szCs w:val="21"/>
                <w:lang w:val="en-US" w:eastAsia="zh-CN"/>
              </w:rPr>
              <w:t>-</w:t>
            </w:r>
          </w:p>
        </w:tc>
        <w:tc>
          <w:tcPr>
            <w:tcW w:w="1923"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default" w:ascii="宋体" w:hAnsi="宋体" w:cs="宋体"/>
                <w:sz w:val="21"/>
                <w:szCs w:val="21"/>
                <w:lang w:val="en-US" w:eastAsia="zh-CN"/>
              </w:rPr>
              <w:t>-</w:t>
            </w:r>
          </w:p>
        </w:tc>
        <w:tc>
          <w:tcPr>
            <w:tcW w:w="2022" w:type="dxa"/>
            <w:tcBorders>
              <w:top w:val="single" w:color="auto" w:sz="4" w:space="0"/>
              <w:bottom w:val="single" w:color="auto" w:sz="4" w:space="0"/>
            </w:tcBorders>
            <w:vAlign w:val="center"/>
          </w:tcPr>
          <w:p>
            <w:pPr>
              <w:spacing w:after="0" w:line="240" w:lineRule="auto"/>
              <w:jc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Arial" w:hAnsi="Arial" w:cs="Arial"/>
                <w:sz w:val="21"/>
                <w:szCs w:val="21"/>
                <w:lang w:val="en-US" w:eastAsia="zh-CN"/>
              </w:rPr>
              <w:t>年（拟合）</w:t>
            </w:r>
            <w:r>
              <w:rPr>
                <w:rFonts w:hint="default" w:ascii="Arial" w:hAnsi="Arial" w:eastAsia="宋体" w:cs="Arial"/>
                <w:sz w:val="21"/>
                <w:szCs w:val="21"/>
                <w:lang w:eastAsia="zh-CN"/>
              </w:rPr>
              <w:t>≤</w:t>
            </w:r>
            <w:r>
              <w:rPr>
                <w:rFonts w:hint="eastAsia" w:ascii="Arial" w:hAnsi="Arial" w:cs="Arial"/>
                <w:sz w:val="21"/>
                <w:szCs w:val="21"/>
                <w:lang w:val="en-US" w:eastAsia="zh-CN"/>
              </w:rPr>
              <w:t xml:space="preserve"> </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.0%</w:t>
            </w:r>
          </w:p>
        </w:tc>
        <w:tc>
          <w:tcPr>
            <w:tcW w:w="1977"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eastAsia" w:ascii="Arial" w:hAnsi="Arial" w:cs="Arial"/>
                <w:sz w:val="21"/>
                <w:szCs w:val="21"/>
                <w:lang w:val="en-US" w:eastAsia="zh-CN"/>
              </w:rPr>
              <w:t>满足采购方要求。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体积变形率</w:t>
            </w:r>
          </w:p>
          <w:p>
            <w:pPr>
              <w:spacing w:after="0"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（工作水压）</w:t>
            </w:r>
          </w:p>
        </w:tc>
        <w:tc>
          <w:tcPr>
            <w:tcW w:w="2696" w:type="dxa"/>
            <w:tcBorders>
              <w:top w:val="single" w:color="auto" w:sz="4" w:space="0"/>
              <w:bottom w:val="single" w:color="auto" w:sz="4" w:space="0"/>
            </w:tcBorders>
            <w:vAlign w:val="center"/>
          </w:tcPr>
          <w:p>
            <w:pPr>
              <w:spacing w:after="0" w:line="240" w:lineRule="auto"/>
              <w:jc w:val="center"/>
              <w:rPr>
                <w:rFonts w:hint="eastAsia" w:ascii="宋体" w:hAnsi="宋体" w:eastAsia="宋体" w:cs="宋体"/>
                <w:sz w:val="21"/>
                <w:szCs w:val="21"/>
                <w:lang w:val="en-US" w:eastAsia="zh-CN"/>
              </w:rPr>
            </w:pPr>
            <w:r>
              <w:rPr>
                <w:rFonts w:hint="default" w:ascii="Arial" w:hAnsi="Arial" w:eastAsia="宋体" w:cs="Arial"/>
                <w:sz w:val="21"/>
                <w:szCs w:val="21"/>
                <w:lang w:eastAsia="zh-CN"/>
              </w:rPr>
              <w:t>≤</w:t>
            </w:r>
            <w:r>
              <w:rPr>
                <w:rFonts w:hint="eastAsia" w:ascii="Arial" w:hAnsi="Arial" w:cs="Arial"/>
                <w:sz w:val="21"/>
                <w:szCs w:val="21"/>
                <w:lang w:val="en-US" w:eastAsia="zh-CN"/>
              </w:rPr>
              <w:t xml:space="preserve"> </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p>
        </w:tc>
        <w:tc>
          <w:tcPr>
            <w:tcW w:w="1909"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23"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2022"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Arial" w:hAnsi="Arial" w:cs="Arial"/>
                <w:sz w:val="21"/>
                <w:szCs w:val="21"/>
                <w:lang w:val="en-US" w:eastAsia="zh-CN"/>
              </w:rPr>
              <w:t xml:space="preserve"> </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p>
        </w:tc>
        <w:tc>
          <w:tcPr>
            <w:tcW w:w="1977"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8" w:type="dxa"/>
            <w:vMerge w:val="continue"/>
            <w:vAlign w:val="center"/>
          </w:tcPr>
          <w:p>
            <w:pPr>
              <w:spacing w:after="0" w:line="240" w:lineRule="auto"/>
              <w:jc w:val="center"/>
              <w:rPr>
                <w:rFonts w:hint="eastAsia" w:ascii="宋体" w:hAnsi="宋体" w:cs="宋体"/>
                <w:sz w:val="21"/>
                <w:szCs w:val="21"/>
                <w:lang w:val="en-US" w:eastAsia="zh-CN"/>
              </w:rPr>
            </w:pPr>
          </w:p>
        </w:tc>
        <w:tc>
          <w:tcPr>
            <w:tcW w:w="2766" w:type="dxa"/>
            <w:gridSpan w:val="2"/>
            <w:vAlign w:val="center"/>
          </w:tcPr>
          <w:p>
            <w:pPr>
              <w:spacing w:after="0"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等静压破坏强度</w:t>
            </w:r>
          </w:p>
        </w:tc>
        <w:tc>
          <w:tcPr>
            <w:tcW w:w="2696" w:type="dxa"/>
            <w:tcBorders>
              <w:top w:val="single" w:color="auto" w:sz="4" w:space="0"/>
              <w:bottom w:val="single" w:color="auto" w:sz="4" w:space="0"/>
            </w:tcBorders>
            <w:vAlign w:val="center"/>
          </w:tcPr>
          <w:p>
            <w:pPr>
              <w:spacing w:after="0" w:line="240" w:lineRule="auto"/>
              <w:jc w:val="center"/>
              <w:rPr>
                <w:rFonts w:hint="default" w:ascii="宋体" w:hAnsi="宋体" w:cs="宋体"/>
                <w:sz w:val="21"/>
                <w:szCs w:val="21"/>
                <w:lang w:val="en-US"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5</w:t>
            </w:r>
            <w:r>
              <w:rPr>
                <w:rFonts w:hint="default" w:ascii="Arial" w:hAnsi="Arial" w:eastAsia="宋体" w:cs="Arial"/>
                <w:sz w:val="21"/>
                <w:szCs w:val="21"/>
                <w:lang w:val="en-US" w:eastAsia="zh-CN"/>
              </w:rPr>
              <w:t>×</w:t>
            </w:r>
            <w:r>
              <w:rPr>
                <w:rFonts w:hint="eastAsia" w:ascii="宋体" w:hAnsi="宋体" w:cs="宋体"/>
                <w:sz w:val="21"/>
                <w:szCs w:val="21"/>
                <w:lang w:val="en-US" w:eastAsia="zh-CN"/>
              </w:rPr>
              <w:t>工作水压</w:t>
            </w:r>
          </w:p>
        </w:tc>
        <w:tc>
          <w:tcPr>
            <w:tcW w:w="1909"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1923"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宋体" w:hAnsi="宋体" w:cs="宋体"/>
                <w:sz w:val="21"/>
                <w:szCs w:val="21"/>
                <w:lang w:val="en-US" w:eastAsia="zh-CN"/>
              </w:rPr>
              <w:t>-</w:t>
            </w:r>
          </w:p>
        </w:tc>
        <w:tc>
          <w:tcPr>
            <w:tcW w:w="2022"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eastAsia="zh-CN"/>
              </w:rPr>
            </w:pPr>
            <w:r>
              <w:rPr>
                <w:rFonts w:hint="default" w:ascii="Arial" w:hAnsi="Arial" w:eastAsia="宋体" w:cs="Arial"/>
                <w:sz w:val="21"/>
                <w:szCs w:val="21"/>
                <w:lang w:eastAsia="zh-CN"/>
              </w:rPr>
              <w:t>≥</w:t>
            </w:r>
            <w:r>
              <w:rPr>
                <w:rFonts w:hint="eastAsia" w:ascii="Arial" w:hAnsi="Arial" w:eastAsia="宋体" w:cs="Arial"/>
                <w:sz w:val="21"/>
                <w:szCs w:val="21"/>
                <w:lang w:val="en-US" w:eastAsia="zh-CN"/>
              </w:rPr>
              <w:t xml:space="preserve"> </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5</w:t>
            </w:r>
            <w:r>
              <w:rPr>
                <w:rFonts w:hint="default" w:ascii="Arial" w:hAnsi="Arial" w:eastAsia="宋体" w:cs="Arial"/>
                <w:sz w:val="21"/>
                <w:szCs w:val="21"/>
                <w:lang w:val="en-US" w:eastAsia="zh-CN"/>
              </w:rPr>
              <w:t>×</w:t>
            </w:r>
            <w:r>
              <w:rPr>
                <w:rFonts w:hint="eastAsia" w:ascii="宋体" w:hAnsi="宋体" w:cs="宋体"/>
                <w:sz w:val="21"/>
                <w:szCs w:val="21"/>
                <w:lang w:val="en-US" w:eastAsia="zh-CN"/>
              </w:rPr>
              <w:t>工作水压</w:t>
            </w:r>
          </w:p>
        </w:tc>
        <w:tc>
          <w:tcPr>
            <w:tcW w:w="1977" w:type="dxa"/>
            <w:tcBorders>
              <w:top w:val="single" w:color="auto" w:sz="4" w:space="0"/>
              <w:bottom w:val="single" w:color="auto" w:sz="4" w:space="0"/>
            </w:tcBorders>
            <w:vAlign w:val="center"/>
          </w:tcPr>
          <w:p>
            <w:pPr>
              <w:spacing w:after="0" w:line="240" w:lineRule="auto"/>
              <w:jc w:val="center"/>
              <w:rPr>
                <w:rFonts w:hint="default" w:ascii="Arial" w:hAnsi="Arial" w:eastAsia="宋体" w:cs="Arial"/>
                <w:sz w:val="21"/>
                <w:szCs w:val="21"/>
                <w:lang w:val="en-US" w:eastAsia="zh-CN"/>
              </w:rPr>
            </w:pPr>
            <w:r>
              <w:rPr>
                <w:rFonts w:hint="eastAsia" w:ascii="Arial" w:hAnsi="Arial" w:eastAsia="宋体" w:cs="Arial"/>
                <w:sz w:val="21"/>
                <w:szCs w:val="21"/>
                <w:lang w:val="en-US" w:eastAsia="zh-CN"/>
              </w:rPr>
              <w:t>满足采购方要求。</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auto"/>
        <w:ind w:leftChars="0"/>
        <w:textAlignment w:val="auto"/>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3E672"/>
    <w:multiLevelType w:val="singleLevel"/>
    <w:tmpl w:val="A183E672"/>
    <w:lvl w:ilvl="0" w:tentative="0">
      <w:start w:val="1"/>
      <w:numFmt w:val="decimal"/>
      <w:lvlText w:val="(%1)"/>
      <w:lvlJc w:val="left"/>
      <w:pPr>
        <w:tabs>
          <w:tab w:val="left" w:pos="420"/>
        </w:tabs>
        <w:ind w:left="845" w:hanging="425"/>
      </w:pPr>
      <w:rPr>
        <w:rFonts w:hint="default"/>
      </w:rPr>
    </w:lvl>
  </w:abstractNum>
  <w:abstractNum w:abstractNumId="1">
    <w:nsid w:val="C9B30B24"/>
    <w:multiLevelType w:val="multilevel"/>
    <w:tmpl w:val="C9B30B24"/>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leftChars="0" w:hanging="420" w:firstLineChars="0"/>
      </w:pPr>
      <w:rPr>
        <w:rFonts w:hint="default"/>
      </w:rPr>
    </w:lvl>
    <w:lvl w:ilvl="2" w:tentative="0">
      <w:start w:val="1"/>
      <w:numFmt w:val="decimal"/>
      <w:lvlText w:val="%3)"/>
      <w:lvlJc w:val="left"/>
      <w:pPr>
        <w:tabs>
          <w:tab w:val="left" w:pos="1260"/>
        </w:tabs>
        <w:ind w:left="1680" w:leftChars="0" w:hanging="420" w:firstLineChars="0"/>
      </w:pPr>
      <w:rPr>
        <w:rFonts w:hint="default"/>
      </w:rPr>
    </w:lvl>
    <w:lvl w:ilvl="3" w:tentative="0">
      <w:start w:val="1"/>
      <w:numFmt w:val="lowerLetter"/>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2">
    <w:nsid w:val="CB36F1C6"/>
    <w:multiLevelType w:val="singleLevel"/>
    <w:tmpl w:val="CB36F1C6"/>
    <w:lvl w:ilvl="0" w:tentative="0">
      <w:start w:val="1"/>
      <w:numFmt w:val="decimal"/>
      <w:lvlText w:val="%1)"/>
      <w:lvlJc w:val="left"/>
      <w:pPr>
        <w:ind w:left="425" w:hanging="425"/>
      </w:pPr>
      <w:rPr>
        <w:rFonts w:hint="default"/>
      </w:rPr>
    </w:lvl>
  </w:abstractNum>
  <w:abstractNum w:abstractNumId="3">
    <w:nsid w:val="D1721965"/>
    <w:multiLevelType w:val="multilevel"/>
    <w:tmpl w:val="D1721965"/>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ECF96DB2"/>
    <w:multiLevelType w:val="singleLevel"/>
    <w:tmpl w:val="ECF96DB2"/>
    <w:lvl w:ilvl="0" w:tentative="0">
      <w:start w:val="1"/>
      <w:numFmt w:val="decimal"/>
      <w:lvlText w:val="%1)"/>
      <w:lvlJc w:val="left"/>
      <w:pPr>
        <w:ind w:left="425" w:hanging="425"/>
      </w:pPr>
      <w:rPr>
        <w:rFonts w:hint="default"/>
      </w:rPr>
    </w:lvl>
  </w:abstractNum>
  <w:abstractNum w:abstractNumId="5">
    <w:nsid w:val="1828C774"/>
    <w:multiLevelType w:val="multilevel"/>
    <w:tmpl w:val="1828C774"/>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leftChars="0" w:hanging="420" w:firstLineChars="0"/>
      </w:pPr>
      <w:rPr>
        <w:rFonts w:hint="default"/>
      </w:rPr>
    </w:lvl>
    <w:lvl w:ilvl="2" w:tentative="0">
      <w:start w:val="1"/>
      <w:numFmt w:val="decimal"/>
      <w:lvlText w:val="%3)"/>
      <w:lvlJc w:val="left"/>
      <w:pPr>
        <w:tabs>
          <w:tab w:val="left" w:pos="1260"/>
        </w:tabs>
        <w:ind w:left="1680" w:leftChars="0" w:hanging="420" w:firstLineChars="0"/>
      </w:pPr>
      <w:rPr>
        <w:rFonts w:hint="default"/>
      </w:rPr>
    </w:lvl>
    <w:lvl w:ilvl="3" w:tentative="0">
      <w:start w:val="1"/>
      <w:numFmt w:val="lowerLetter"/>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6">
    <w:nsid w:val="1BFFFE66"/>
    <w:multiLevelType w:val="singleLevel"/>
    <w:tmpl w:val="1BFFFE66"/>
    <w:lvl w:ilvl="0" w:tentative="0">
      <w:start w:val="1"/>
      <w:numFmt w:val="decimal"/>
      <w:lvlText w:val="%1)"/>
      <w:lvlJc w:val="left"/>
      <w:pPr>
        <w:ind w:left="425" w:hanging="425"/>
      </w:pPr>
      <w:rPr>
        <w:rFonts w:hint="default"/>
      </w:rPr>
    </w:lvl>
  </w:abstractNum>
  <w:abstractNum w:abstractNumId="7">
    <w:nsid w:val="4EE0FA64"/>
    <w:multiLevelType w:val="singleLevel"/>
    <w:tmpl w:val="4EE0FA64"/>
    <w:lvl w:ilvl="0" w:tentative="0">
      <w:start w:val="1"/>
      <w:numFmt w:val="decimal"/>
      <w:lvlText w:val="%1)"/>
      <w:lvlJc w:val="left"/>
      <w:pPr>
        <w:tabs>
          <w:tab w:val="left" w:pos="420"/>
        </w:tabs>
        <w:ind w:left="845" w:hanging="425"/>
      </w:pPr>
      <w:rPr>
        <w:rFonts w:hint="default"/>
      </w:rPr>
    </w:lvl>
  </w:abstractNum>
  <w:num w:numId="1">
    <w:abstractNumId w:val="3"/>
  </w:num>
  <w:num w:numId="2">
    <w:abstractNumId w:val="7"/>
  </w:num>
  <w:num w:numId="3">
    <w:abstractNumId w:val="0"/>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55F30"/>
    <w:rsid w:val="01744031"/>
    <w:rsid w:val="01F8303F"/>
    <w:rsid w:val="02C1551C"/>
    <w:rsid w:val="02D20DCF"/>
    <w:rsid w:val="02F52265"/>
    <w:rsid w:val="04316418"/>
    <w:rsid w:val="04636455"/>
    <w:rsid w:val="046A7827"/>
    <w:rsid w:val="0506634D"/>
    <w:rsid w:val="05A53045"/>
    <w:rsid w:val="05BB1A77"/>
    <w:rsid w:val="05C706BF"/>
    <w:rsid w:val="05F81DB3"/>
    <w:rsid w:val="074615F1"/>
    <w:rsid w:val="078C04FE"/>
    <w:rsid w:val="08372A91"/>
    <w:rsid w:val="083A0EA0"/>
    <w:rsid w:val="084F5659"/>
    <w:rsid w:val="08E66009"/>
    <w:rsid w:val="099F2866"/>
    <w:rsid w:val="09FF2C1A"/>
    <w:rsid w:val="0AF44AC2"/>
    <w:rsid w:val="0B151D6D"/>
    <w:rsid w:val="0C443DB3"/>
    <w:rsid w:val="0CCB1D97"/>
    <w:rsid w:val="0CF503CF"/>
    <w:rsid w:val="0D644132"/>
    <w:rsid w:val="0DCF6A8A"/>
    <w:rsid w:val="0DFF1C48"/>
    <w:rsid w:val="0E2946F3"/>
    <w:rsid w:val="0E2B0492"/>
    <w:rsid w:val="0F1E516C"/>
    <w:rsid w:val="0F552896"/>
    <w:rsid w:val="0F5F295E"/>
    <w:rsid w:val="100E59AC"/>
    <w:rsid w:val="109B3731"/>
    <w:rsid w:val="10E9453B"/>
    <w:rsid w:val="10ED7A83"/>
    <w:rsid w:val="124020CB"/>
    <w:rsid w:val="12A03032"/>
    <w:rsid w:val="13193941"/>
    <w:rsid w:val="13C41FD4"/>
    <w:rsid w:val="14BE3926"/>
    <w:rsid w:val="14BE5061"/>
    <w:rsid w:val="14FF7B48"/>
    <w:rsid w:val="15035BEE"/>
    <w:rsid w:val="150D2B16"/>
    <w:rsid w:val="152A2FAF"/>
    <w:rsid w:val="15B5405F"/>
    <w:rsid w:val="16446573"/>
    <w:rsid w:val="167D6501"/>
    <w:rsid w:val="16B325BE"/>
    <w:rsid w:val="171E0710"/>
    <w:rsid w:val="173442C9"/>
    <w:rsid w:val="17F56E32"/>
    <w:rsid w:val="18266E4E"/>
    <w:rsid w:val="18644C5A"/>
    <w:rsid w:val="19BC3102"/>
    <w:rsid w:val="1A043ADA"/>
    <w:rsid w:val="1A1D6138"/>
    <w:rsid w:val="1A4C4A37"/>
    <w:rsid w:val="1AD54C32"/>
    <w:rsid w:val="1C6D010C"/>
    <w:rsid w:val="1C957F11"/>
    <w:rsid w:val="1CA55A7E"/>
    <w:rsid w:val="1CC50FBC"/>
    <w:rsid w:val="1CF00636"/>
    <w:rsid w:val="1D636288"/>
    <w:rsid w:val="1DA44A6A"/>
    <w:rsid w:val="1DC92676"/>
    <w:rsid w:val="1E796FBB"/>
    <w:rsid w:val="20282378"/>
    <w:rsid w:val="20493F61"/>
    <w:rsid w:val="20E65412"/>
    <w:rsid w:val="216873B4"/>
    <w:rsid w:val="219557F7"/>
    <w:rsid w:val="21C122A2"/>
    <w:rsid w:val="232B0070"/>
    <w:rsid w:val="23CB6C9C"/>
    <w:rsid w:val="23EE1C6D"/>
    <w:rsid w:val="244F5C1B"/>
    <w:rsid w:val="25CF1BA9"/>
    <w:rsid w:val="25E427F3"/>
    <w:rsid w:val="26587F5D"/>
    <w:rsid w:val="26A5538F"/>
    <w:rsid w:val="26E059AB"/>
    <w:rsid w:val="28C35024"/>
    <w:rsid w:val="2908209C"/>
    <w:rsid w:val="299F63FB"/>
    <w:rsid w:val="29A939B6"/>
    <w:rsid w:val="29DA5C22"/>
    <w:rsid w:val="2A4F438F"/>
    <w:rsid w:val="2AD7186F"/>
    <w:rsid w:val="2AF4367D"/>
    <w:rsid w:val="2CB24FD9"/>
    <w:rsid w:val="2D8E4965"/>
    <w:rsid w:val="2E5806E8"/>
    <w:rsid w:val="2EDD65C7"/>
    <w:rsid w:val="2F082CDD"/>
    <w:rsid w:val="2F5A04E6"/>
    <w:rsid w:val="2F5F65FA"/>
    <w:rsid w:val="300F0C63"/>
    <w:rsid w:val="30190A24"/>
    <w:rsid w:val="30617BA6"/>
    <w:rsid w:val="30651EF7"/>
    <w:rsid w:val="30CD2A36"/>
    <w:rsid w:val="30E65A70"/>
    <w:rsid w:val="313F318C"/>
    <w:rsid w:val="315F4C49"/>
    <w:rsid w:val="32E24839"/>
    <w:rsid w:val="33372AD9"/>
    <w:rsid w:val="33402E84"/>
    <w:rsid w:val="33500DB5"/>
    <w:rsid w:val="3366323B"/>
    <w:rsid w:val="34E15BDC"/>
    <w:rsid w:val="3540127B"/>
    <w:rsid w:val="35606E66"/>
    <w:rsid w:val="3568174A"/>
    <w:rsid w:val="361E7950"/>
    <w:rsid w:val="36737401"/>
    <w:rsid w:val="36A356AB"/>
    <w:rsid w:val="36BE194B"/>
    <w:rsid w:val="36C22820"/>
    <w:rsid w:val="37A2604C"/>
    <w:rsid w:val="37E87D28"/>
    <w:rsid w:val="38EB5356"/>
    <w:rsid w:val="395B3ACE"/>
    <w:rsid w:val="398D367B"/>
    <w:rsid w:val="399555C2"/>
    <w:rsid w:val="3B097FE0"/>
    <w:rsid w:val="3BDE481C"/>
    <w:rsid w:val="3BF457CA"/>
    <w:rsid w:val="3C403B09"/>
    <w:rsid w:val="3D954F06"/>
    <w:rsid w:val="3E521E99"/>
    <w:rsid w:val="3E925AA8"/>
    <w:rsid w:val="3EF457A8"/>
    <w:rsid w:val="4006575F"/>
    <w:rsid w:val="40CA3EA1"/>
    <w:rsid w:val="41086B66"/>
    <w:rsid w:val="4276061B"/>
    <w:rsid w:val="42BD29CB"/>
    <w:rsid w:val="43791817"/>
    <w:rsid w:val="43B30B74"/>
    <w:rsid w:val="44AB3711"/>
    <w:rsid w:val="44EA2599"/>
    <w:rsid w:val="458216C3"/>
    <w:rsid w:val="46981056"/>
    <w:rsid w:val="46984659"/>
    <w:rsid w:val="46ED62DE"/>
    <w:rsid w:val="4777731B"/>
    <w:rsid w:val="48285495"/>
    <w:rsid w:val="489250CA"/>
    <w:rsid w:val="48AA45AC"/>
    <w:rsid w:val="48CF15CC"/>
    <w:rsid w:val="498C561E"/>
    <w:rsid w:val="4A195287"/>
    <w:rsid w:val="4B055ACB"/>
    <w:rsid w:val="4B277724"/>
    <w:rsid w:val="4BC72D7F"/>
    <w:rsid w:val="4BFC6B2F"/>
    <w:rsid w:val="4C4146A0"/>
    <w:rsid w:val="4C4903BE"/>
    <w:rsid w:val="4C537D0C"/>
    <w:rsid w:val="4C6148D1"/>
    <w:rsid w:val="4DB54183"/>
    <w:rsid w:val="4DCB489F"/>
    <w:rsid w:val="4DD42109"/>
    <w:rsid w:val="4FDF39F5"/>
    <w:rsid w:val="51D21441"/>
    <w:rsid w:val="5226527A"/>
    <w:rsid w:val="54896924"/>
    <w:rsid w:val="557D4C23"/>
    <w:rsid w:val="55A67D1F"/>
    <w:rsid w:val="56B57D0E"/>
    <w:rsid w:val="56C51F51"/>
    <w:rsid w:val="572D4236"/>
    <w:rsid w:val="574C63F2"/>
    <w:rsid w:val="57B161D2"/>
    <w:rsid w:val="581A5CBA"/>
    <w:rsid w:val="59185BCE"/>
    <w:rsid w:val="59590B9E"/>
    <w:rsid w:val="59F06D89"/>
    <w:rsid w:val="5AEF2106"/>
    <w:rsid w:val="5B122DD0"/>
    <w:rsid w:val="5B6C0A15"/>
    <w:rsid w:val="5CC00D50"/>
    <w:rsid w:val="5E8D6D9A"/>
    <w:rsid w:val="6037372A"/>
    <w:rsid w:val="60E93E98"/>
    <w:rsid w:val="61630012"/>
    <w:rsid w:val="627E237B"/>
    <w:rsid w:val="62881357"/>
    <w:rsid w:val="634A5165"/>
    <w:rsid w:val="6379466E"/>
    <w:rsid w:val="639A57A5"/>
    <w:rsid w:val="660727DE"/>
    <w:rsid w:val="66653B4E"/>
    <w:rsid w:val="666B4D48"/>
    <w:rsid w:val="67786FCA"/>
    <w:rsid w:val="67DC200B"/>
    <w:rsid w:val="67F70CCB"/>
    <w:rsid w:val="681B4C4A"/>
    <w:rsid w:val="68A23652"/>
    <w:rsid w:val="68A8544D"/>
    <w:rsid w:val="690D6DB5"/>
    <w:rsid w:val="69117C97"/>
    <w:rsid w:val="697F17F2"/>
    <w:rsid w:val="69EF3D35"/>
    <w:rsid w:val="69F83901"/>
    <w:rsid w:val="6A5A4257"/>
    <w:rsid w:val="6AA74B6F"/>
    <w:rsid w:val="6AF91998"/>
    <w:rsid w:val="6B264B81"/>
    <w:rsid w:val="6C491984"/>
    <w:rsid w:val="6C8826F2"/>
    <w:rsid w:val="6CBA2D2C"/>
    <w:rsid w:val="6D3C7013"/>
    <w:rsid w:val="6DE108F5"/>
    <w:rsid w:val="6E101F83"/>
    <w:rsid w:val="6E784A37"/>
    <w:rsid w:val="6E855A4C"/>
    <w:rsid w:val="6EAA467E"/>
    <w:rsid w:val="6EE714FD"/>
    <w:rsid w:val="6FCA09CF"/>
    <w:rsid w:val="70515D99"/>
    <w:rsid w:val="71485123"/>
    <w:rsid w:val="71645C85"/>
    <w:rsid w:val="72327D1D"/>
    <w:rsid w:val="72D633FC"/>
    <w:rsid w:val="72DB41D5"/>
    <w:rsid w:val="72FC3CC4"/>
    <w:rsid w:val="73233249"/>
    <w:rsid w:val="7372445E"/>
    <w:rsid w:val="74354472"/>
    <w:rsid w:val="7489127F"/>
    <w:rsid w:val="75120DA2"/>
    <w:rsid w:val="762D1726"/>
    <w:rsid w:val="763809B0"/>
    <w:rsid w:val="76A933DE"/>
    <w:rsid w:val="76E91723"/>
    <w:rsid w:val="773473D7"/>
    <w:rsid w:val="77753E1A"/>
    <w:rsid w:val="77A71693"/>
    <w:rsid w:val="781E63D7"/>
    <w:rsid w:val="784648AA"/>
    <w:rsid w:val="79C23597"/>
    <w:rsid w:val="7A62582F"/>
    <w:rsid w:val="7BCE71FA"/>
    <w:rsid w:val="7C191F6B"/>
    <w:rsid w:val="7C326E80"/>
    <w:rsid w:val="7C6C2809"/>
    <w:rsid w:val="7D995E2F"/>
    <w:rsid w:val="7E2C26D4"/>
    <w:rsid w:val="7E77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2021-04-05T02:22:00Z</dcterms:created>
  <dc:creator>WindW</dc:creator>
  <cp:lastModifiedBy>刘刚 台州中浮</cp:lastModifiedBy>
  <dcterms:modified xsi:type="dcterms:W3CDTF">2021-08-03T02:11:05Z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96F25DA0B2DC458A967B299B35F5769D</vt:lpwstr>
  </property>
</Properties>
</file>